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38"/>
          <w:rFonts w:eastAsia="方正小标宋简体"/>
          <w:bCs w:val="0"/>
          <w:color w:val="000000" w:themeColor="text1"/>
          <w:sz w:val="36"/>
          <w:szCs w:val="36"/>
          <w14:textFill>
            <w14:solidFill>
              <w14:schemeClr w14:val="tx1"/>
            </w14:solidFill>
          </w14:textFill>
        </w:rPr>
      </w:pPr>
      <w:r>
        <w:rPr>
          <w:rStyle w:val="38"/>
          <w:rFonts w:eastAsia="方正小标宋简体"/>
          <w:b w:val="0"/>
          <w:color w:val="000000" w:themeColor="text1"/>
          <w:sz w:val="36"/>
          <w:szCs w:val="36"/>
          <w14:textFill>
            <w14:solidFill>
              <w14:schemeClr w14:val="tx1"/>
            </w14:solidFill>
          </w14:textFill>
        </w:rPr>
        <w:t>浙江省科学技术奖公示信息表</w:t>
      </w:r>
    </w:p>
    <w:p>
      <w:pPr>
        <w:spacing w:line="440" w:lineRule="exact"/>
        <w:rPr>
          <w:rFonts w:eastAsia="仿宋_GB2312"/>
          <w:sz w:val="24"/>
          <w:szCs w:val="24"/>
        </w:rPr>
      </w:pPr>
      <w:r>
        <w:rPr>
          <w:rFonts w:eastAsia="仿宋_GB2312"/>
          <w:sz w:val="24"/>
          <w:szCs w:val="22"/>
        </w:rPr>
        <w:t>提名奖</w:t>
      </w:r>
      <w:r>
        <w:rPr>
          <w:rFonts w:eastAsia="仿宋_GB2312"/>
          <w:sz w:val="24"/>
          <w:szCs w:val="24"/>
        </w:rPr>
        <w:t>项: 技术发明奖</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08" w:type="dxa"/>
          <w:left w:w="108" w:type="dxa"/>
          <w:bottom w:w="108" w:type="dxa"/>
          <w:right w:w="108" w:type="dxa"/>
        </w:tblCellMar>
      </w:tblPr>
      <w:tblGrid>
        <w:gridCol w:w="1303"/>
        <w:gridCol w:w="7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54" w:hRule="atLeast"/>
          <w:jc w:val="center"/>
        </w:trPr>
        <w:tc>
          <w:tcPr>
            <w:tcW w:w="719" w:type="pct"/>
            <w:vAlign w:val="center"/>
          </w:tcPr>
          <w:p>
            <w:pPr>
              <w:contextualSpacing/>
              <w:jc w:val="center"/>
              <w:rPr>
                <w:rStyle w:val="38"/>
                <w:rFonts w:eastAsia="黑体"/>
                <w:b w:val="0"/>
                <w:bCs w:val="0"/>
                <w:color w:val="auto"/>
              </w:rPr>
            </w:pPr>
            <w:r>
              <w:rPr>
                <w:rStyle w:val="38"/>
                <w:rFonts w:eastAsia="黑体"/>
                <w:b w:val="0"/>
                <w:bCs w:val="0"/>
                <w:color w:val="auto"/>
              </w:rPr>
              <w:t>成果名称</w:t>
            </w:r>
          </w:p>
        </w:tc>
        <w:tc>
          <w:tcPr>
            <w:tcW w:w="4281" w:type="pct"/>
            <w:vAlign w:val="center"/>
          </w:tcPr>
          <w:p>
            <w:pPr>
              <w:contextualSpacing/>
              <w:jc w:val="center"/>
              <w:rPr>
                <w:rStyle w:val="38"/>
                <w:rFonts w:eastAsia="仿宋_GB2312"/>
                <w:b w:val="0"/>
                <w:color w:val="auto"/>
              </w:rPr>
            </w:pPr>
            <w:r>
              <w:rPr>
                <w:rFonts w:hint="eastAsia" w:ascii="仿宋" w:hAnsi="仿宋" w:eastAsia="仿宋" w:cs="仿宋"/>
                <w:bCs/>
                <w:sz w:val="24"/>
                <w:szCs w:val="24"/>
                <w:lang w:eastAsia="zh-CN"/>
              </w:rPr>
              <w:t>特大桥</w:t>
            </w:r>
            <w:r>
              <w:rPr>
                <w:rFonts w:hint="eastAsia" w:ascii="仿宋" w:hAnsi="仿宋" w:eastAsia="仿宋" w:cs="仿宋"/>
                <w:bCs/>
                <w:sz w:val="24"/>
                <w:szCs w:val="24"/>
              </w:rPr>
              <w:t>改性聚氨酯钢桥面和自适应模块</w:t>
            </w:r>
            <w:r>
              <w:rPr>
                <w:rFonts w:hint="eastAsia" w:ascii="仿宋" w:hAnsi="仿宋" w:eastAsia="仿宋" w:cs="仿宋"/>
                <w:bCs/>
                <w:sz w:val="24"/>
                <w:szCs w:val="24"/>
                <w:lang w:eastAsia="zh-CN"/>
              </w:rPr>
              <w:t>化</w:t>
            </w:r>
            <w:r>
              <w:rPr>
                <w:rFonts w:hint="eastAsia" w:ascii="仿宋" w:hAnsi="仿宋" w:eastAsia="仿宋" w:cs="仿宋"/>
                <w:bCs/>
                <w:sz w:val="24"/>
                <w:szCs w:val="24"/>
              </w:rPr>
              <w:t>伸缩装置关键技术及应用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54" w:hRule="atLeast"/>
          <w:jc w:val="center"/>
        </w:trPr>
        <w:tc>
          <w:tcPr>
            <w:tcW w:w="719" w:type="pct"/>
            <w:vAlign w:val="center"/>
          </w:tcPr>
          <w:p>
            <w:pPr>
              <w:contextualSpacing/>
              <w:jc w:val="center"/>
              <w:rPr>
                <w:rStyle w:val="38"/>
                <w:rFonts w:eastAsia="黑体"/>
                <w:b w:val="0"/>
                <w:bCs w:val="0"/>
                <w:color w:val="auto"/>
              </w:rPr>
            </w:pPr>
            <w:r>
              <w:rPr>
                <w:rStyle w:val="38"/>
                <w:rFonts w:eastAsia="黑体"/>
                <w:b w:val="0"/>
                <w:bCs w:val="0"/>
                <w:color w:val="auto"/>
              </w:rPr>
              <w:t>提名等级</w:t>
            </w:r>
          </w:p>
        </w:tc>
        <w:tc>
          <w:tcPr>
            <w:tcW w:w="4281" w:type="pct"/>
            <w:vAlign w:val="center"/>
          </w:tcPr>
          <w:p>
            <w:pPr>
              <w:tabs>
                <w:tab w:val="left" w:pos="2138"/>
              </w:tabs>
              <w:contextualSpacing/>
              <w:jc w:val="center"/>
              <w:rPr>
                <w:rStyle w:val="38"/>
                <w:rFonts w:eastAsia="仿宋_GB2312"/>
                <w:b w:val="0"/>
                <w:color w:val="auto"/>
              </w:rPr>
            </w:pPr>
            <w:r>
              <w:rPr>
                <w:rStyle w:val="38"/>
                <w:rFonts w:eastAsia="仿宋_GB2312"/>
                <w:b w:val="0"/>
                <w:color w:val="auto"/>
              </w:rPr>
              <w:t>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54" w:hRule="atLeast"/>
          <w:jc w:val="center"/>
        </w:trPr>
        <w:tc>
          <w:tcPr>
            <w:tcW w:w="719" w:type="pct"/>
            <w:vAlign w:val="center"/>
          </w:tcPr>
          <w:p>
            <w:pPr>
              <w:contextualSpacing/>
              <w:jc w:val="center"/>
              <w:rPr>
                <w:rStyle w:val="38"/>
                <w:rFonts w:eastAsia="黑体"/>
                <w:b w:val="0"/>
                <w:bCs w:val="0"/>
                <w:color w:val="auto"/>
              </w:rPr>
            </w:pPr>
            <w:r>
              <w:rPr>
                <w:rStyle w:val="38"/>
                <w:rFonts w:eastAsia="黑体"/>
                <w:b w:val="0"/>
                <w:bCs w:val="0"/>
                <w:color w:val="auto"/>
              </w:rPr>
              <w:t>提名书</w:t>
            </w:r>
          </w:p>
          <w:p>
            <w:pPr>
              <w:contextualSpacing/>
              <w:jc w:val="center"/>
              <w:rPr>
                <w:rStyle w:val="38"/>
                <w:rFonts w:eastAsia="黑体"/>
                <w:color w:val="auto"/>
              </w:rPr>
            </w:pPr>
            <w:r>
              <w:rPr>
                <w:rStyle w:val="38"/>
                <w:rFonts w:eastAsia="黑体"/>
                <w:b w:val="0"/>
                <w:bCs w:val="0"/>
                <w:color w:val="auto"/>
              </w:rPr>
              <w:t>相关内容</w:t>
            </w:r>
          </w:p>
        </w:tc>
        <w:tc>
          <w:tcPr>
            <w:tcW w:w="4281" w:type="pct"/>
            <w:vAlign w:val="center"/>
          </w:tcPr>
          <w:p>
            <w:pPr>
              <w:adjustRightInd w:val="0"/>
              <w:snapToGrid w:val="0"/>
              <w:spacing w:line="326" w:lineRule="exact"/>
              <w:jc w:val="left"/>
              <w:rPr>
                <w:rFonts w:eastAsia="仿宋_GB2312"/>
                <w:b/>
                <w:bCs/>
                <w:sz w:val="24"/>
                <w:szCs w:val="24"/>
              </w:rPr>
            </w:pPr>
            <w:r>
              <w:rPr>
                <w:rFonts w:eastAsia="仿宋_GB2312"/>
                <w:b/>
                <w:bCs/>
                <w:sz w:val="24"/>
                <w:szCs w:val="24"/>
              </w:rPr>
              <w:t xml:space="preserve">1. 主要知识产权目录: </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一种高温疲劳试验装置及其树脂混凝土高温疲劳试验方法, ZL202210132314.1</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特种车辆, ZL202111383600.7</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一种钢桥面复合式铺装结构及铺装方法, ZL201811036316.0</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一种钢桥桥面铺装结构及铺装方法, ZL201510590393.0</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一种预制钢筋混凝土简支梁桥桥面铺装维修结构及施工方法, ZL201510589794.4</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一种桥面铺装面层结构及维修施工方法, ZL201510590055.7</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一种桥梁伸缩缝装置, ZL201610024101.1</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一种无过渡段砼桥梁伸缩缝装置及其它安装方法, ZL201410035058.X</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一种具有多向变位功能的环保减噪型桥梁伸缩缝装置, ZL201010039591.5</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一种抗地震位移的桥梁伸缩装置, ZL201310318260.9</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抗特大竖向转角变位的桥梁伸缩缝装置, ZL200810163577.9</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一种具有竖向变位功能的减噪型桥梁伸缩缝装置, ZL201010039592.X</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一种快速安装桥梁伸缩缝装置, ZL201610216808.2</w:t>
            </w:r>
          </w:p>
          <w:p>
            <w:pPr>
              <w:pStyle w:val="34"/>
              <w:numPr>
                <w:ilvl w:val="0"/>
                <w:numId w:val="1"/>
              </w:numPr>
              <w:adjustRightInd w:val="0"/>
              <w:snapToGrid w:val="0"/>
              <w:ind w:firstLineChars="0"/>
              <w:jc w:val="left"/>
              <w:rPr>
                <w:rFonts w:ascii="Times New Roman" w:eastAsia="仿宋"/>
                <w:bCs/>
                <w:sz w:val="24"/>
                <w:szCs w:val="24"/>
              </w:rPr>
            </w:pPr>
            <w:r>
              <w:rPr>
                <w:rFonts w:ascii="Times New Roman" w:eastAsia="仿宋"/>
                <w:bCs/>
                <w:sz w:val="24"/>
                <w:szCs w:val="24"/>
              </w:rPr>
              <w:t>发明专利: 一种用于桥梁伸缩缝装置的止水导水结构, ZL201610049992.6</w:t>
            </w:r>
          </w:p>
          <w:p>
            <w:pPr>
              <w:pStyle w:val="34"/>
              <w:numPr>
                <w:ilvl w:val="0"/>
                <w:numId w:val="1"/>
              </w:numPr>
              <w:adjustRightInd w:val="0"/>
              <w:snapToGrid w:val="0"/>
              <w:ind w:firstLineChars="0"/>
              <w:jc w:val="left"/>
              <w:rPr>
                <w:rFonts w:ascii="Times New Roman" w:eastAsia="仿宋"/>
                <w:bCs/>
                <w:sz w:val="24"/>
                <w:szCs w:val="24"/>
              </w:rPr>
            </w:pPr>
            <w:r>
              <w:rPr>
                <w:rFonts w:hint="eastAsia" w:ascii="Times New Roman" w:eastAsia="仿宋"/>
                <w:bCs/>
                <w:sz w:val="24"/>
                <w:szCs w:val="24"/>
                <w:lang w:eastAsia="zh-CN"/>
              </w:rPr>
              <w:t>发明专利：一种快速更换桥梁伸缩装置及其安装方法，</w:t>
            </w:r>
            <w:r>
              <w:rPr>
                <w:rFonts w:hint="eastAsia" w:ascii="Times New Roman" w:eastAsia="仿宋"/>
                <w:bCs/>
                <w:sz w:val="24"/>
                <w:szCs w:val="24"/>
                <w:lang w:val="en-US" w:eastAsia="zh-CN"/>
              </w:rPr>
              <w:t>ZL201410288722.1</w:t>
            </w:r>
          </w:p>
          <w:p>
            <w:pPr>
              <w:pStyle w:val="34"/>
              <w:numPr>
                <w:ilvl w:val="0"/>
                <w:numId w:val="1"/>
              </w:numPr>
              <w:adjustRightInd w:val="0"/>
              <w:snapToGrid w:val="0"/>
              <w:ind w:firstLineChars="0"/>
              <w:jc w:val="left"/>
              <w:rPr>
                <w:rFonts w:hint="eastAsia" w:ascii="Times New Roman" w:eastAsia="仿宋"/>
                <w:bCs/>
                <w:sz w:val="24"/>
                <w:szCs w:val="24"/>
                <w:lang w:eastAsia="zh-CN"/>
              </w:rPr>
            </w:pPr>
            <w:r>
              <w:rPr>
                <w:rFonts w:hint="eastAsia" w:ascii="Times New Roman" w:eastAsia="仿宋"/>
                <w:bCs/>
                <w:sz w:val="24"/>
                <w:szCs w:val="24"/>
                <w:lang w:val="en-US" w:eastAsia="zh-CN"/>
              </w:rPr>
              <w:t>标准：</w:t>
            </w:r>
            <w:r>
              <w:rPr>
                <w:rFonts w:hint="eastAsia" w:ascii="Times New Roman" w:eastAsia="仿宋"/>
                <w:bCs/>
                <w:sz w:val="24"/>
                <w:szCs w:val="24"/>
                <w:lang w:val="en-GB" w:eastAsia="zh-CN"/>
              </w:rPr>
              <w:t>单元式多向变位梳形板桥梁伸缩装置, JT/T723-2008</w:t>
            </w:r>
          </w:p>
          <w:p>
            <w:pPr>
              <w:pStyle w:val="34"/>
              <w:numPr>
                <w:ilvl w:val="0"/>
                <w:numId w:val="1"/>
              </w:numPr>
              <w:adjustRightInd w:val="0"/>
              <w:snapToGrid w:val="0"/>
              <w:ind w:firstLineChars="0"/>
              <w:jc w:val="left"/>
              <w:rPr>
                <w:rFonts w:hint="eastAsia" w:ascii="Times New Roman" w:eastAsia="仿宋"/>
                <w:bCs/>
                <w:sz w:val="24"/>
                <w:szCs w:val="24"/>
                <w:lang w:eastAsia="zh-CN"/>
              </w:rPr>
            </w:pPr>
            <w:r>
              <w:rPr>
                <w:rFonts w:hint="eastAsia" w:ascii="Times New Roman" w:eastAsia="仿宋"/>
                <w:bCs/>
                <w:sz w:val="24"/>
                <w:szCs w:val="24"/>
                <w:lang w:val="en-GB" w:eastAsia="zh-CN"/>
              </w:rPr>
              <w:t>标准：公路桥梁伸缩装置通用技术条件，</w:t>
            </w:r>
            <w:r>
              <w:rPr>
                <w:rFonts w:hint="eastAsia" w:ascii="Times New Roman" w:eastAsia="仿宋"/>
                <w:bCs/>
                <w:sz w:val="24"/>
                <w:szCs w:val="24"/>
                <w:lang w:val="en-US" w:eastAsia="zh-CN"/>
              </w:rPr>
              <w:t>JT/T327-2016</w:t>
            </w:r>
          </w:p>
          <w:p>
            <w:pPr>
              <w:pStyle w:val="34"/>
              <w:numPr>
                <w:ilvl w:val="0"/>
                <w:numId w:val="1"/>
              </w:numPr>
              <w:adjustRightInd w:val="0"/>
              <w:snapToGrid w:val="0"/>
              <w:ind w:firstLineChars="0"/>
              <w:jc w:val="left"/>
              <w:rPr>
                <w:rFonts w:hint="eastAsia" w:ascii="Times New Roman" w:eastAsia="仿宋"/>
                <w:bCs/>
                <w:sz w:val="24"/>
                <w:szCs w:val="24"/>
                <w:lang w:eastAsia="zh-CN"/>
              </w:rPr>
            </w:pPr>
            <w:r>
              <w:rPr>
                <w:rFonts w:hint="eastAsia" w:ascii="Times New Roman" w:eastAsia="仿宋"/>
                <w:bCs/>
                <w:sz w:val="24"/>
                <w:szCs w:val="24"/>
                <w:lang w:eastAsia="zh-CN"/>
              </w:rPr>
              <w:t>标准：</w:t>
            </w:r>
            <w:r>
              <w:rPr>
                <w:rFonts w:hint="eastAsia" w:ascii="Times New Roman" w:eastAsia="仿宋"/>
                <w:bCs/>
                <w:sz w:val="24"/>
                <w:szCs w:val="24"/>
                <w:lang w:val="en-GB" w:eastAsia="zh-CN"/>
              </w:rPr>
              <w:t>公路钢桥面聚酯型聚氨酯混凝土铺装技术指南, T/CHTS 10033 -2021</w:t>
            </w:r>
          </w:p>
          <w:p>
            <w:pPr>
              <w:pStyle w:val="34"/>
              <w:numPr>
                <w:ilvl w:val="0"/>
                <w:numId w:val="1"/>
              </w:numPr>
              <w:adjustRightInd w:val="0"/>
              <w:snapToGrid w:val="0"/>
              <w:ind w:firstLineChars="0"/>
              <w:jc w:val="left"/>
              <w:rPr>
                <w:rFonts w:hint="eastAsia" w:ascii="Times New Roman" w:eastAsia="仿宋"/>
                <w:bCs/>
                <w:sz w:val="24"/>
                <w:szCs w:val="24"/>
                <w:lang w:eastAsia="zh-CN"/>
              </w:rPr>
            </w:pPr>
            <w:r>
              <w:rPr>
                <w:rFonts w:hint="eastAsia" w:ascii="Times New Roman" w:eastAsia="仿宋"/>
                <w:bCs/>
                <w:sz w:val="24"/>
                <w:szCs w:val="24"/>
                <w:lang w:val="en-GB" w:eastAsia="zh-CN"/>
              </w:rPr>
              <w:t>标准：钢桥面铺装工程应用技术标准，DG/TJ08-2353-2020, J15742 -2021</w:t>
            </w:r>
          </w:p>
          <w:p>
            <w:pPr>
              <w:pStyle w:val="34"/>
              <w:numPr>
                <w:ilvl w:val="0"/>
                <w:numId w:val="1"/>
              </w:numPr>
              <w:adjustRightInd w:val="0"/>
              <w:snapToGrid w:val="0"/>
              <w:ind w:firstLineChars="0"/>
              <w:jc w:val="left"/>
              <w:rPr>
                <w:rFonts w:hint="eastAsia" w:ascii="Times New Roman" w:eastAsia="仿宋"/>
                <w:bCs/>
                <w:sz w:val="24"/>
                <w:szCs w:val="24"/>
                <w:lang w:eastAsia="zh-CN"/>
              </w:rPr>
            </w:pPr>
            <w:r>
              <w:rPr>
                <w:rFonts w:hint="eastAsia" w:ascii="Times New Roman" w:eastAsia="仿宋"/>
                <w:bCs/>
                <w:sz w:val="24"/>
                <w:szCs w:val="24"/>
                <w:lang w:val="en-GB" w:eastAsia="zh-CN"/>
              </w:rPr>
              <w:t>标准：单元式多向变位梳形板桥梁伸缩装置施工技术规程, DB 13/T 2949-2019</w:t>
            </w:r>
          </w:p>
          <w:p>
            <w:pPr>
              <w:pStyle w:val="34"/>
              <w:numPr>
                <w:ilvl w:val="0"/>
                <w:numId w:val="1"/>
              </w:numPr>
              <w:adjustRightInd w:val="0"/>
              <w:snapToGrid w:val="0"/>
              <w:ind w:firstLineChars="0"/>
              <w:jc w:val="left"/>
              <w:rPr>
                <w:rFonts w:hint="eastAsia" w:ascii="Times New Roman" w:eastAsia="仿宋"/>
                <w:bCs/>
                <w:sz w:val="24"/>
                <w:szCs w:val="24"/>
                <w:lang w:eastAsia="zh-CN"/>
              </w:rPr>
            </w:pPr>
            <w:r>
              <w:rPr>
                <w:rFonts w:hint="eastAsia" w:ascii="Times New Roman" w:eastAsia="仿宋"/>
                <w:bCs/>
                <w:sz w:val="24"/>
                <w:szCs w:val="24"/>
                <w:lang w:val="en-GB" w:eastAsia="zh-CN"/>
              </w:rPr>
              <w:t>标准：轴转式多向变为梳齿板桥梁伸缩装置, T/ZZB 2843-2022</w:t>
            </w:r>
          </w:p>
          <w:p>
            <w:pPr>
              <w:adjustRightInd w:val="0"/>
              <w:snapToGrid w:val="0"/>
              <w:spacing w:line="326" w:lineRule="exact"/>
              <w:jc w:val="left"/>
              <w:rPr>
                <w:rFonts w:eastAsia="仿宋_GB2312"/>
                <w:b/>
                <w:bCs/>
                <w:sz w:val="24"/>
                <w:szCs w:val="24"/>
              </w:rPr>
            </w:pPr>
            <w:r>
              <w:rPr>
                <w:rFonts w:eastAsia="仿宋_GB2312"/>
                <w:b/>
                <w:bCs/>
                <w:sz w:val="24"/>
                <w:szCs w:val="24"/>
              </w:rPr>
              <w:t xml:space="preserve">2. 代表性论文专著目录: </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徐斌</w:t>
            </w:r>
            <w:r>
              <w:rPr>
                <w:rFonts w:ascii="Times New Roman" w:eastAsia="仿宋"/>
                <w:sz w:val="24"/>
                <w:szCs w:val="24"/>
              </w:rPr>
              <w:t xml:space="preserve">, </w:t>
            </w:r>
            <w:r>
              <w:rPr>
                <w:rFonts w:ascii="Times New Roman" w:eastAsia="仿宋"/>
                <w:sz w:val="24"/>
                <w:szCs w:val="24"/>
                <w:lang w:val="en-GB"/>
              </w:rPr>
              <w:t>徐速</w:t>
            </w:r>
            <w:r>
              <w:rPr>
                <w:rFonts w:ascii="Times New Roman" w:eastAsia="仿宋"/>
                <w:sz w:val="24"/>
                <w:szCs w:val="24"/>
              </w:rPr>
              <w:t xml:space="preserve">, </w:t>
            </w:r>
            <w:r>
              <w:rPr>
                <w:rFonts w:ascii="Times New Roman" w:eastAsia="仿宋"/>
                <w:sz w:val="24"/>
                <w:szCs w:val="24"/>
                <w:lang w:val="en-GB"/>
              </w:rPr>
              <w:t>马登成</w:t>
            </w:r>
            <w:r>
              <w:rPr>
                <w:rFonts w:ascii="Times New Roman" w:eastAsia="仿宋"/>
                <w:sz w:val="24"/>
                <w:szCs w:val="24"/>
              </w:rPr>
              <w:t>. 改性聚氨酯混凝土铺装技术与装备[M]. 北京: 人民交通出版社股份有限公司, 2022: 1-234.</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徐斌</w:t>
            </w:r>
            <w:r>
              <w:rPr>
                <w:rFonts w:ascii="Times New Roman" w:eastAsia="仿宋"/>
                <w:sz w:val="24"/>
                <w:szCs w:val="24"/>
              </w:rPr>
              <w:t>, 徐速, 丁勇, 王仁贵. 公路桥梁单元式多向变位伸缩装置[M]. 北京: 人民交通出版社股份有限公司, 2022: 1-176.</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rPr>
              <w:t>徐斌, 徐速, 王博, 等. 单元式多向变位梳型板桥梁伸缩装置性能仿真与优化[J]</w:t>
            </w:r>
            <w:r>
              <w:rPr>
                <w:rFonts w:ascii="Times New Roman" w:eastAsia="仿宋"/>
                <w:sz w:val="24"/>
                <w:szCs w:val="24"/>
                <w:lang w:val="en-GB"/>
              </w:rPr>
              <w:t xml:space="preserve">. </w:t>
            </w:r>
            <w:r>
              <w:rPr>
                <w:rFonts w:ascii="Times New Roman" w:eastAsia="仿宋"/>
                <w:sz w:val="24"/>
                <w:szCs w:val="24"/>
              </w:rPr>
              <w:t xml:space="preserve">中国公路, 2019, 13: 114-117. </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徐斌</w:t>
            </w:r>
            <w:r>
              <w:rPr>
                <w:rFonts w:ascii="Times New Roman" w:eastAsia="仿宋"/>
                <w:sz w:val="24"/>
                <w:szCs w:val="24"/>
              </w:rPr>
              <w:t>, 丁勇, 徐速, 等. 明州大桥RB混凝土钢桥面铺装性能理论分析与实测研究[J]</w:t>
            </w:r>
            <w:r>
              <w:rPr>
                <w:rFonts w:ascii="Times New Roman" w:eastAsia="仿宋"/>
                <w:sz w:val="24"/>
                <w:szCs w:val="24"/>
                <w:lang w:val="en-GB"/>
              </w:rPr>
              <w:t>. 工程建设</w:t>
            </w:r>
            <w:r>
              <w:rPr>
                <w:rFonts w:ascii="Times New Roman" w:eastAsia="仿宋"/>
                <w:sz w:val="24"/>
                <w:szCs w:val="24"/>
              </w:rPr>
              <w:t>, 2019, 2(6): 53-67.</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徐斌</w:t>
            </w:r>
            <w:r>
              <w:rPr>
                <w:rFonts w:ascii="Times New Roman" w:eastAsia="仿宋"/>
                <w:sz w:val="24"/>
                <w:szCs w:val="24"/>
              </w:rPr>
              <w:t>, 徐速, 洪雪亮, 等. 无砼单元式多向变位桥梁伸缩装置设计及应用[C]</w:t>
            </w:r>
            <w:r>
              <w:rPr>
                <w:rFonts w:ascii="Times New Roman" w:eastAsia="仿宋"/>
                <w:sz w:val="24"/>
                <w:szCs w:val="24"/>
                <w:lang w:val="en-GB"/>
              </w:rPr>
              <w:t xml:space="preserve">. </w:t>
            </w:r>
            <w:r>
              <w:rPr>
                <w:rFonts w:ascii="Times New Roman" w:eastAsia="仿宋"/>
                <w:sz w:val="24"/>
                <w:szCs w:val="24"/>
              </w:rPr>
              <w:t>中国公路学会桥梁和结构工程分会2019年全国桥梁学术会议论文集, 2019, 9: 1-6.</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徐斌</w:t>
            </w:r>
            <w:r>
              <w:rPr>
                <w:rFonts w:ascii="Times New Roman" w:eastAsia="仿宋"/>
                <w:sz w:val="24"/>
                <w:szCs w:val="24"/>
              </w:rPr>
              <w:t>, 徐速, 洪雪亮, 等. 无混凝土单元式多向变位桥梁伸缩装置设计及应用[C]. 中国公路学会桥梁和结构工程分会2019年全国桥梁学术会议论文集, 2019, 11: 204-208.</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徐斌</w:t>
            </w:r>
            <w:r>
              <w:rPr>
                <w:rFonts w:ascii="Times New Roman" w:eastAsia="仿宋"/>
                <w:sz w:val="24"/>
                <w:szCs w:val="24"/>
              </w:rPr>
              <w:t>, 徐速, 胡风, 等. ECO改性聚氨酯混凝土桥面铺装系统在明州大桥的应用[C]</w:t>
            </w:r>
            <w:r>
              <w:rPr>
                <w:rFonts w:ascii="Times New Roman" w:eastAsia="仿宋"/>
                <w:sz w:val="24"/>
                <w:szCs w:val="24"/>
                <w:lang w:val="en-GB"/>
              </w:rPr>
              <w:t xml:space="preserve">. </w:t>
            </w:r>
            <w:r>
              <w:rPr>
                <w:rFonts w:ascii="Times New Roman" w:eastAsia="仿宋"/>
                <w:sz w:val="24"/>
                <w:szCs w:val="24"/>
              </w:rPr>
              <w:t>中国公路学会桥梁和结构工程分会2018年度全国桥梁学术会议论文集, 2018, 9: 746-750.</w:t>
            </w:r>
          </w:p>
          <w:p>
            <w:pPr>
              <w:pStyle w:val="34"/>
              <w:numPr>
                <w:ilvl w:val="0"/>
                <w:numId w:val="2"/>
              </w:numPr>
              <w:adjustRightInd w:val="0"/>
              <w:snapToGrid w:val="0"/>
              <w:spacing w:line="326" w:lineRule="exact"/>
              <w:ind w:firstLineChars="0"/>
              <w:rPr>
                <w:rFonts w:ascii="Times New Roman" w:eastAsia="仿宋"/>
                <w:sz w:val="24"/>
                <w:szCs w:val="24"/>
                <w:lang w:val="en-GB"/>
              </w:rPr>
            </w:pPr>
            <w:r>
              <w:rPr>
                <w:rFonts w:ascii="Times New Roman" w:eastAsia="仿宋"/>
                <w:sz w:val="24"/>
                <w:szCs w:val="24"/>
                <w:lang w:val="en-GB"/>
              </w:rPr>
              <w:t>徐斌</w:t>
            </w:r>
            <w:r>
              <w:rPr>
                <w:rFonts w:ascii="Times New Roman" w:eastAsia="仿宋"/>
                <w:sz w:val="24"/>
                <w:szCs w:val="24"/>
              </w:rPr>
              <w:t>, 王博, 吕建华, 等. 几种常用桥梁伸缩装置性能比较和选型[C]</w:t>
            </w:r>
            <w:r>
              <w:rPr>
                <w:rFonts w:ascii="Times New Roman" w:eastAsia="仿宋"/>
                <w:sz w:val="24"/>
                <w:szCs w:val="24"/>
                <w:lang w:val="en-GB"/>
              </w:rPr>
              <w:t xml:space="preserve">. </w:t>
            </w:r>
            <w:r>
              <w:rPr>
                <w:rFonts w:ascii="Times New Roman" w:eastAsia="仿宋"/>
                <w:sz w:val="24"/>
                <w:szCs w:val="24"/>
              </w:rPr>
              <w:t>第二届桥梁创新技术论坛暨部颁桥梁专用产品标准宣贯会论文集, 2009, 9: 217-226.</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黄元库</w:t>
            </w:r>
            <w:r>
              <w:rPr>
                <w:rFonts w:ascii="Times New Roman" w:eastAsia="仿宋"/>
                <w:sz w:val="24"/>
                <w:szCs w:val="24"/>
              </w:rPr>
              <w:t>, 曾有全, 徐斌, 等. RB单元式多向变位梳形板式桥梁伸缩装置的应用[J]</w:t>
            </w:r>
            <w:r>
              <w:rPr>
                <w:rFonts w:ascii="Times New Roman" w:eastAsia="仿宋"/>
                <w:sz w:val="24"/>
                <w:szCs w:val="24"/>
                <w:lang w:val="en-GB"/>
              </w:rPr>
              <w:t xml:space="preserve">. 公路, </w:t>
            </w:r>
            <w:r>
              <w:rPr>
                <w:rFonts w:ascii="Times New Roman" w:eastAsia="仿宋"/>
                <w:sz w:val="24"/>
                <w:szCs w:val="24"/>
              </w:rPr>
              <w:t>2009, 6: 110-114.</w:t>
            </w:r>
          </w:p>
          <w:p>
            <w:pPr>
              <w:pStyle w:val="34"/>
              <w:numPr>
                <w:ilvl w:val="0"/>
                <w:numId w:val="2"/>
              </w:numPr>
              <w:adjustRightInd w:val="0"/>
              <w:snapToGrid w:val="0"/>
              <w:spacing w:line="326" w:lineRule="exact"/>
              <w:ind w:firstLineChars="0"/>
              <w:rPr>
                <w:rFonts w:ascii="Times New Roman" w:eastAsia="仿宋"/>
                <w:sz w:val="24"/>
                <w:szCs w:val="24"/>
              </w:rPr>
            </w:pPr>
            <w:r>
              <w:rPr>
                <w:rFonts w:hint="eastAsia" w:ascii="Times New Roman" w:eastAsia="仿宋"/>
                <w:sz w:val="24"/>
                <w:szCs w:val="24"/>
                <w:lang w:val="en-GB" w:eastAsia="zh-CN"/>
              </w:rPr>
              <w:t>徐斌，王仁贵，徐速，等</w:t>
            </w:r>
            <w:r>
              <w:rPr>
                <w:rFonts w:hint="eastAsia" w:ascii="Times New Roman" w:eastAsia="仿宋"/>
                <w:sz w:val="24"/>
                <w:szCs w:val="24"/>
                <w:lang w:val="en-US" w:eastAsia="zh-CN"/>
              </w:rPr>
              <w:t>.ECO改性聚氨酯混凝土铺装层力学仿真分析[J].公路，2022,12：131-135.</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徐斌</w:t>
            </w:r>
            <w:r>
              <w:rPr>
                <w:rFonts w:ascii="Times New Roman" w:eastAsia="仿宋"/>
                <w:sz w:val="24"/>
                <w:szCs w:val="24"/>
              </w:rPr>
              <w:t>, 王博, 吕建华, 等. “RB单元式多变位梳形板桥梁伸缩装置”的结构与性能[C]</w:t>
            </w:r>
            <w:r>
              <w:rPr>
                <w:rFonts w:ascii="Times New Roman" w:eastAsia="仿宋"/>
                <w:sz w:val="24"/>
                <w:szCs w:val="24"/>
                <w:lang w:val="en-GB"/>
              </w:rPr>
              <w:t xml:space="preserve">. </w:t>
            </w:r>
            <w:r>
              <w:rPr>
                <w:rFonts w:ascii="Times New Roman" w:eastAsia="仿宋"/>
                <w:sz w:val="24"/>
                <w:szCs w:val="24"/>
              </w:rPr>
              <w:t xml:space="preserve">中国公路学会桥梁和结构工程分会2009年全国桥梁学术会议论文集, 2009, 12: 214-220. </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徐斌</w:t>
            </w:r>
            <w:r>
              <w:rPr>
                <w:rFonts w:ascii="Times New Roman" w:eastAsia="仿宋"/>
                <w:sz w:val="24"/>
                <w:szCs w:val="24"/>
              </w:rPr>
              <w:t>, 徐速, 吕建华, 朋茜. 聚氨酯混合料在正交异性钢桥面铺装中的发展与应用[J]</w:t>
            </w:r>
            <w:r>
              <w:rPr>
                <w:rFonts w:ascii="Times New Roman" w:eastAsia="仿宋"/>
                <w:sz w:val="24"/>
                <w:szCs w:val="24"/>
                <w:lang w:val="en-GB"/>
              </w:rPr>
              <w:t xml:space="preserve">. </w:t>
            </w:r>
            <w:r>
              <w:rPr>
                <w:rFonts w:ascii="Times New Roman" w:eastAsia="仿宋"/>
                <w:sz w:val="24"/>
                <w:szCs w:val="24"/>
              </w:rPr>
              <w:t>混凝土世界, 2021, 4: 88-93.</w:t>
            </w:r>
          </w:p>
          <w:p>
            <w:pPr>
              <w:pStyle w:val="34"/>
              <w:numPr>
                <w:ilvl w:val="0"/>
                <w:numId w:val="2"/>
              </w:numPr>
              <w:adjustRightInd w:val="0"/>
              <w:snapToGrid w:val="0"/>
              <w:spacing w:line="326" w:lineRule="exact"/>
              <w:ind w:firstLineChars="0"/>
              <w:rPr>
                <w:rFonts w:ascii="Times New Roman" w:eastAsia="仿宋"/>
                <w:sz w:val="24"/>
                <w:szCs w:val="24"/>
              </w:rPr>
            </w:pPr>
            <w:r>
              <w:rPr>
                <w:rFonts w:ascii="Times New Roman" w:eastAsia="仿宋"/>
                <w:sz w:val="24"/>
                <w:szCs w:val="24"/>
                <w:lang w:val="en-GB"/>
              </w:rPr>
              <w:t>徐斌</w:t>
            </w:r>
            <w:r>
              <w:rPr>
                <w:rFonts w:ascii="Times New Roman" w:eastAsia="仿宋"/>
                <w:sz w:val="24"/>
                <w:szCs w:val="24"/>
              </w:rPr>
              <w:t>, 徐速, 吕建华, 朋茜. 聚合物混凝土发展及桥梁工程应用研究[J]</w:t>
            </w:r>
            <w:r>
              <w:rPr>
                <w:rFonts w:ascii="Times New Roman" w:eastAsia="仿宋"/>
                <w:sz w:val="24"/>
                <w:szCs w:val="24"/>
                <w:lang w:val="en-GB"/>
              </w:rPr>
              <w:t xml:space="preserve">. </w:t>
            </w:r>
            <w:r>
              <w:rPr>
                <w:rFonts w:ascii="Times New Roman" w:eastAsia="仿宋"/>
                <w:sz w:val="24"/>
                <w:szCs w:val="24"/>
              </w:rPr>
              <w:t>混凝土世界, 2021, 10: 89-92.</w:t>
            </w:r>
          </w:p>
          <w:p>
            <w:pPr>
              <w:pStyle w:val="34"/>
              <w:numPr>
                <w:ilvl w:val="0"/>
                <w:numId w:val="2"/>
              </w:numPr>
              <w:adjustRightInd w:val="0"/>
              <w:snapToGrid w:val="0"/>
              <w:spacing w:line="326" w:lineRule="exact"/>
              <w:ind w:firstLineChars="0"/>
              <w:rPr>
                <w:rFonts w:ascii="Times New Roman"/>
                <w:bCs/>
                <w:sz w:val="24"/>
                <w:szCs w:val="24"/>
              </w:rPr>
            </w:pPr>
            <w:r>
              <w:rPr>
                <w:rFonts w:ascii="Times New Roman" w:eastAsia="仿宋"/>
                <w:sz w:val="24"/>
                <w:szCs w:val="24"/>
              </w:rPr>
              <w:t>Jianhua Lei, Fan Feng, Su Xu, etc. Study on Mechanical Properties of Modified Polyurethane Concrete at Different Temperatures[J]. Applied Sciences, 2022, 12(6): 3184, 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54" w:hRule="atLeast"/>
          <w:jc w:val="center"/>
        </w:trPr>
        <w:tc>
          <w:tcPr>
            <w:tcW w:w="719" w:type="pct"/>
            <w:tcBorders>
              <w:right w:val="single" w:color="auto" w:sz="4" w:space="0"/>
            </w:tcBorders>
            <w:vAlign w:val="center"/>
          </w:tcPr>
          <w:p>
            <w:pPr>
              <w:contextualSpacing/>
              <w:jc w:val="center"/>
              <w:rPr>
                <w:rStyle w:val="38"/>
                <w:color w:val="auto"/>
              </w:rPr>
            </w:pPr>
            <w:r>
              <w:rPr>
                <w:rStyle w:val="38"/>
                <w:color w:val="auto"/>
              </w:rPr>
              <w:t>主要</w:t>
            </w:r>
            <w:r>
              <w:rPr>
                <w:rStyle w:val="38"/>
                <w:color w:val="auto"/>
              </w:rPr>
              <w:br w:type="textWrapping"/>
            </w:r>
            <w:r>
              <w:rPr>
                <w:rStyle w:val="38"/>
                <w:color w:val="auto"/>
              </w:rPr>
              <w:t>完成人</w:t>
            </w:r>
          </w:p>
        </w:tc>
        <w:tc>
          <w:tcPr>
            <w:tcW w:w="4281" w:type="pct"/>
            <w:tcBorders>
              <w:left w:val="single" w:color="auto" w:sz="4" w:space="0"/>
            </w:tcBorders>
            <w:vAlign w:val="center"/>
          </w:tcPr>
          <w:p>
            <w:pPr>
              <w:tabs>
                <w:tab w:val="center" w:pos="3152"/>
              </w:tabs>
              <w:adjustRightInd w:val="0"/>
              <w:snapToGrid w:val="0"/>
              <w:spacing w:line="326" w:lineRule="exact"/>
              <w:rPr>
                <w:rFonts w:eastAsia="仿宋"/>
                <w:bCs/>
                <w:sz w:val="24"/>
                <w:szCs w:val="24"/>
              </w:rPr>
            </w:pPr>
            <w:r>
              <w:rPr>
                <w:rFonts w:eastAsia="仿宋"/>
                <w:bCs/>
                <w:sz w:val="24"/>
                <w:szCs w:val="24"/>
              </w:rPr>
              <w:t>徐  斌，排名1，正高级工程师，宁波路宝科技实业集团有限公司；</w:t>
            </w:r>
          </w:p>
          <w:p>
            <w:pPr>
              <w:tabs>
                <w:tab w:val="center" w:pos="3152"/>
              </w:tabs>
              <w:adjustRightInd w:val="0"/>
              <w:snapToGrid w:val="0"/>
              <w:spacing w:line="326" w:lineRule="exact"/>
              <w:rPr>
                <w:rFonts w:eastAsia="仿宋"/>
                <w:bCs/>
                <w:sz w:val="24"/>
                <w:szCs w:val="24"/>
              </w:rPr>
            </w:pPr>
            <w:r>
              <w:rPr>
                <w:rFonts w:eastAsia="仿宋"/>
                <w:bCs/>
                <w:sz w:val="24"/>
                <w:szCs w:val="24"/>
              </w:rPr>
              <w:t>徐  速，排名2，高级经济师，宁波路宝科技实业集团有限公司；</w:t>
            </w:r>
          </w:p>
          <w:p>
            <w:pPr>
              <w:tabs>
                <w:tab w:val="center" w:pos="3152"/>
              </w:tabs>
              <w:adjustRightInd w:val="0"/>
              <w:snapToGrid w:val="0"/>
              <w:spacing w:line="326" w:lineRule="exact"/>
              <w:rPr>
                <w:rFonts w:eastAsia="仿宋"/>
                <w:bCs/>
                <w:sz w:val="24"/>
                <w:szCs w:val="24"/>
              </w:rPr>
            </w:pPr>
            <w:r>
              <w:rPr>
                <w:rFonts w:eastAsia="仿宋"/>
                <w:bCs/>
                <w:sz w:val="24"/>
                <w:szCs w:val="24"/>
              </w:rPr>
              <w:t>吕</w:t>
            </w:r>
            <w:r>
              <w:rPr>
                <w:rFonts w:hint="eastAsia" w:eastAsia="仿宋"/>
                <w:bCs/>
                <w:sz w:val="24"/>
                <w:szCs w:val="24"/>
                <w:lang w:val="en-US" w:eastAsia="zh-CN"/>
              </w:rPr>
              <w:t>建华</w:t>
            </w:r>
            <w:r>
              <w:rPr>
                <w:rFonts w:eastAsia="仿宋"/>
                <w:bCs/>
                <w:sz w:val="24"/>
                <w:szCs w:val="24"/>
              </w:rPr>
              <w:t>，排名</w:t>
            </w:r>
            <w:r>
              <w:rPr>
                <w:rFonts w:hint="eastAsia" w:eastAsia="仿宋"/>
                <w:bCs/>
                <w:sz w:val="24"/>
                <w:szCs w:val="24"/>
                <w:lang w:val="en-US" w:eastAsia="zh-CN"/>
              </w:rPr>
              <w:t>3</w:t>
            </w:r>
            <w:r>
              <w:rPr>
                <w:rFonts w:eastAsia="仿宋"/>
                <w:bCs/>
                <w:sz w:val="24"/>
                <w:szCs w:val="24"/>
              </w:rPr>
              <w:t>，</w:t>
            </w:r>
            <w:r>
              <w:rPr>
                <w:rFonts w:hint="eastAsia" w:eastAsia="仿宋"/>
                <w:bCs/>
                <w:sz w:val="24"/>
                <w:szCs w:val="24"/>
                <w:lang w:eastAsia="zh-CN"/>
              </w:rPr>
              <w:t>高</w:t>
            </w:r>
            <w:r>
              <w:rPr>
                <w:rFonts w:eastAsia="仿宋"/>
                <w:bCs/>
                <w:sz w:val="24"/>
                <w:szCs w:val="24"/>
              </w:rPr>
              <w:t>级工程师，宁波路宝科技实业集团有限公司；</w:t>
            </w:r>
          </w:p>
          <w:p>
            <w:pPr>
              <w:tabs>
                <w:tab w:val="center" w:pos="3152"/>
              </w:tabs>
              <w:adjustRightInd w:val="0"/>
              <w:snapToGrid w:val="0"/>
              <w:spacing w:line="326" w:lineRule="exact"/>
              <w:rPr>
                <w:rFonts w:eastAsia="仿宋"/>
                <w:bCs/>
                <w:sz w:val="24"/>
                <w:szCs w:val="24"/>
              </w:rPr>
            </w:pPr>
            <w:r>
              <w:rPr>
                <w:rFonts w:eastAsia="仿宋"/>
                <w:bCs/>
                <w:sz w:val="24"/>
                <w:szCs w:val="24"/>
              </w:rPr>
              <w:t>胡  风，排名</w:t>
            </w:r>
            <w:r>
              <w:rPr>
                <w:rFonts w:hint="eastAsia" w:eastAsia="仿宋"/>
                <w:bCs/>
                <w:sz w:val="24"/>
                <w:szCs w:val="24"/>
                <w:lang w:val="en-US" w:eastAsia="zh-CN"/>
              </w:rPr>
              <w:t>4</w:t>
            </w:r>
            <w:r>
              <w:rPr>
                <w:rFonts w:eastAsia="仿宋"/>
                <w:bCs/>
                <w:sz w:val="24"/>
                <w:szCs w:val="24"/>
              </w:rPr>
              <w:t>，助理工程师，宁波路宝科技实业集团有限公司；</w:t>
            </w:r>
          </w:p>
          <w:p>
            <w:pPr>
              <w:tabs>
                <w:tab w:val="center" w:pos="3152"/>
              </w:tabs>
              <w:adjustRightInd w:val="0"/>
              <w:snapToGrid w:val="0"/>
              <w:spacing w:line="326" w:lineRule="exact"/>
              <w:rPr>
                <w:rFonts w:hint="eastAsia" w:eastAsia="仿宋"/>
                <w:bCs/>
                <w:sz w:val="24"/>
                <w:szCs w:val="24"/>
                <w:lang w:eastAsia="zh-CN"/>
              </w:rPr>
            </w:pPr>
            <w:r>
              <w:rPr>
                <w:rFonts w:hint="eastAsia" w:eastAsia="仿宋"/>
                <w:bCs/>
                <w:sz w:val="24"/>
                <w:szCs w:val="24"/>
                <w:lang w:val="en-US" w:eastAsia="zh-CN"/>
              </w:rPr>
              <w:t>李学锋</w:t>
            </w:r>
            <w:r>
              <w:rPr>
                <w:rFonts w:eastAsia="仿宋"/>
                <w:bCs/>
                <w:sz w:val="24"/>
                <w:szCs w:val="24"/>
              </w:rPr>
              <w:t>，排名</w:t>
            </w:r>
            <w:r>
              <w:rPr>
                <w:rFonts w:hint="eastAsia" w:eastAsia="仿宋"/>
                <w:bCs/>
                <w:sz w:val="24"/>
                <w:szCs w:val="24"/>
                <w:lang w:val="en-US" w:eastAsia="zh-CN"/>
              </w:rPr>
              <w:t>5</w:t>
            </w:r>
            <w:r>
              <w:rPr>
                <w:rFonts w:eastAsia="仿宋"/>
                <w:bCs/>
                <w:sz w:val="24"/>
                <w:szCs w:val="24"/>
              </w:rPr>
              <w:t>，</w:t>
            </w:r>
            <w:bookmarkStart w:id="0" w:name="_GoBack"/>
            <w:bookmarkEnd w:id="0"/>
            <w:r>
              <w:rPr>
                <w:rFonts w:hint="eastAsia" w:eastAsia="仿宋"/>
                <w:bCs/>
                <w:sz w:val="24"/>
                <w:szCs w:val="24"/>
                <w:lang w:val="en-US" w:eastAsia="zh-CN"/>
              </w:rPr>
              <w:t>高级工程师</w:t>
            </w:r>
            <w:r>
              <w:rPr>
                <w:rFonts w:eastAsia="仿宋"/>
                <w:bCs/>
                <w:sz w:val="24"/>
                <w:szCs w:val="24"/>
              </w:rPr>
              <w:t>，宁波路宝科技实业集团有限公司</w:t>
            </w:r>
            <w:r>
              <w:rPr>
                <w:rFonts w:hint="eastAsia" w:eastAsia="仿宋"/>
                <w:bCs/>
                <w:sz w:val="24"/>
                <w:szCs w:val="24"/>
                <w:lang w:eastAsia="zh-CN"/>
              </w:rPr>
              <w:t>；</w:t>
            </w:r>
          </w:p>
          <w:p>
            <w:pPr>
              <w:tabs>
                <w:tab w:val="center" w:pos="3152"/>
              </w:tabs>
              <w:adjustRightInd w:val="0"/>
              <w:snapToGrid w:val="0"/>
              <w:spacing w:line="326" w:lineRule="exact"/>
              <w:rPr>
                <w:rFonts w:eastAsia="仿宋_GB2312"/>
                <w:bCs/>
                <w:sz w:val="24"/>
                <w:szCs w:val="24"/>
              </w:rPr>
            </w:pPr>
            <w:r>
              <w:rPr>
                <w:rFonts w:hint="eastAsia" w:eastAsia="仿宋"/>
                <w:bCs/>
                <w:sz w:val="24"/>
                <w:szCs w:val="24"/>
                <w:lang w:val="en-US" w:eastAsia="zh-CN"/>
              </w:rPr>
              <w:t>张  宇</w:t>
            </w:r>
            <w:r>
              <w:rPr>
                <w:rFonts w:eastAsia="仿宋"/>
                <w:bCs/>
                <w:sz w:val="24"/>
                <w:szCs w:val="24"/>
              </w:rPr>
              <w:t>，排名</w:t>
            </w:r>
            <w:r>
              <w:rPr>
                <w:rFonts w:hint="eastAsia" w:eastAsia="仿宋"/>
                <w:bCs/>
                <w:sz w:val="24"/>
                <w:szCs w:val="24"/>
                <w:lang w:val="en-US" w:eastAsia="zh-CN"/>
              </w:rPr>
              <w:t>6</w:t>
            </w:r>
            <w:r>
              <w:rPr>
                <w:rFonts w:eastAsia="仿宋"/>
                <w:bCs/>
                <w:sz w:val="24"/>
                <w:szCs w:val="24"/>
              </w:rPr>
              <w:t>，</w:t>
            </w:r>
            <w:r>
              <w:rPr>
                <w:rFonts w:hint="eastAsia" w:eastAsia="仿宋"/>
                <w:bCs/>
                <w:sz w:val="24"/>
                <w:szCs w:val="24"/>
                <w:lang w:val="en-US" w:eastAsia="zh-CN"/>
              </w:rPr>
              <w:t>助理工程师</w:t>
            </w:r>
            <w:r>
              <w:rPr>
                <w:rFonts w:eastAsia="仿宋"/>
                <w:bCs/>
                <w:sz w:val="24"/>
                <w:szCs w:val="24"/>
              </w:rPr>
              <w:t>，宁波路宝科技实业集团有限公司</w:t>
            </w:r>
            <w:r>
              <w:rPr>
                <w:rFonts w:hint="eastAsia" w:eastAsia="仿宋"/>
                <w:bCs/>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54" w:hRule="atLeast"/>
          <w:jc w:val="center"/>
        </w:trPr>
        <w:tc>
          <w:tcPr>
            <w:tcW w:w="719" w:type="pct"/>
            <w:tcBorders>
              <w:right w:val="single" w:color="auto" w:sz="4" w:space="0"/>
            </w:tcBorders>
            <w:vAlign w:val="center"/>
          </w:tcPr>
          <w:p>
            <w:pPr>
              <w:contextualSpacing/>
              <w:jc w:val="center"/>
              <w:rPr>
                <w:rStyle w:val="38"/>
                <w:color w:val="auto"/>
              </w:rPr>
            </w:pPr>
            <w:r>
              <w:rPr>
                <w:rStyle w:val="38"/>
                <w:color w:val="auto"/>
              </w:rPr>
              <w:t>主要完成单位</w:t>
            </w:r>
          </w:p>
        </w:tc>
        <w:tc>
          <w:tcPr>
            <w:tcW w:w="4281" w:type="pct"/>
            <w:tcBorders>
              <w:left w:val="single" w:color="auto" w:sz="4" w:space="0"/>
            </w:tcBorders>
            <w:vAlign w:val="center"/>
          </w:tcPr>
          <w:p>
            <w:pPr>
              <w:contextualSpacing/>
              <w:jc w:val="center"/>
              <w:rPr>
                <w:rFonts w:eastAsia="仿宋_GB2312"/>
                <w:bCs/>
                <w:sz w:val="24"/>
                <w:szCs w:val="24"/>
              </w:rPr>
            </w:pPr>
            <w:r>
              <w:rPr>
                <w:rFonts w:eastAsia="仿宋_GB2312"/>
                <w:bCs/>
                <w:sz w:val="24"/>
                <w:szCs w:val="24"/>
              </w:rPr>
              <w:t>宁波路宝科技实业集团有限公司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54" w:hRule="atLeast"/>
          <w:jc w:val="center"/>
        </w:trPr>
        <w:tc>
          <w:tcPr>
            <w:tcW w:w="719" w:type="pct"/>
            <w:vAlign w:val="center"/>
          </w:tcPr>
          <w:p>
            <w:pPr>
              <w:contextualSpacing/>
              <w:jc w:val="center"/>
              <w:rPr>
                <w:rStyle w:val="38"/>
                <w:rFonts w:eastAsia="黑体"/>
                <w:b w:val="0"/>
                <w:bCs w:val="0"/>
                <w:color w:val="auto"/>
              </w:rPr>
            </w:pPr>
            <w:r>
              <w:rPr>
                <w:rStyle w:val="38"/>
                <w:rFonts w:eastAsia="黑体"/>
                <w:b w:val="0"/>
                <w:bCs w:val="0"/>
                <w:color w:val="auto"/>
              </w:rPr>
              <w:t>提名单位</w:t>
            </w:r>
          </w:p>
        </w:tc>
        <w:tc>
          <w:tcPr>
            <w:tcW w:w="4281" w:type="pct"/>
            <w:vAlign w:val="center"/>
          </w:tcPr>
          <w:p>
            <w:pPr>
              <w:contextualSpacing/>
              <w:jc w:val="center"/>
              <w:rPr>
                <w:rStyle w:val="38"/>
                <w:rFonts w:eastAsia="仿宋_GB2312"/>
                <w:b w:val="0"/>
                <w:color w:val="auto"/>
              </w:rPr>
            </w:pPr>
            <w:r>
              <w:rPr>
                <w:rStyle w:val="38"/>
                <w:rFonts w:eastAsia="仿宋_GB2312"/>
                <w:b w:val="0"/>
                <w:color w:val="auto"/>
              </w:rPr>
              <w:t>宁波市人民政府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54" w:hRule="atLeast"/>
          <w:jc w:val="center"/>
        </w:trPr>
        <w:tc>
          <w:tcPr>
            <w:tcW w:w="719" w:type="pct"/>
            <w:vAlign w:val="center"/>
          </w:tcPr>
          <w:p>
            <w:pPr>
              <w:contextualSpacing/>
              <w:jc w:val="center"/>
              <w:rPr>
                <w:rStyle w:val="38"/>
                <w:rFonts w:eastAsia="黑体"/>
                <w:b w:val="0"/>
                <w:bCs w:val="0"/>
                <w:color w:val="auto"/>
              </w:rPr>
            </w:pPr>
            <w:r>
              <w:rPr>
                <w:rStyle w:val="38"/>
                <w:rFonts w:eastAsia="黑体"/>
                <w:b w:val="0"/>
                <w:bCs w:val="0"/>
                <w:color w:val="auto"/>
              </w:rPr>
              <w:t>提名意见</w:t>
            </w:r>
          </w:p>
        </w:tc>
        <w:tc>
          <w:tcPr>
            <w:tcW w:w="4281" w:type="pct"/>
            <w:vAlign w:val="center"/>
          </w:tcPr>
          <w:p>
            <w:pPr>
              <w:spacing w:line="276"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rPr>
              <w:t>该项目</w:t>
            </w:r>
            <w:r>
              <w:rPr>
                <w:rFonts w:hint="eastAsia" w:ascii="仿宋" w:hAnsi="仿宋" w:eastAsia="仿宋" w:cs="仿宋"/>
                <w:sz w:val="24"/>
                <w:szCs w:val="24"/>
                <w:lang w:val="en-US" w:eastAsia="zh-CN"/>
              </w:rPr>
              <w:t>由长期专注于桥梁领域自主创新的国家级单项冠军示范企业完成。</w:t>
            </w:r>
            <w:r>
              <w:rPr>
                <w:rFonts w:hint="eastAsia" w:ascii="仿宋" w:hAnsi="仿宋" w:eastAsia="仿宋" w:cs="仿宋"/>
                <w:sz w:val="24"/>
                <w:szCs w:val="24"/>
              </w:rPr>
              <w:t>围绕特大型钢桥行车性能提升问题开展研究，聚焦钢桥面铺装与伸缩装置存在寿命短、病害多发、影响桥梁结构寿命和行车舒适性等突出问</w:t>
            </w:r>
            <w:r>
              <w:rPr>
                <w:rFonts w:hint="eastAsia" w:ascii="仿宋" w:hAnsi="仿宋" w:eastAsia="仿宋" w:cs="仿宋"/>
                <w:color w:val="000000" w:themeColor="text1"/>
                <w:sz w:val="24"/>
                <w:szCs w:val="24"/>
                <w14:textFill>
                  <w14:solidFill>
                    <w14:schemeClr w14:val="tx1"/>
                  </w14:solidFill>
                </w14:textFill>
              </w:rPr>
              <w:t>题，在国家火炬计划等项目的资助下，经 10 余年研究，发明了 ECO 改性聚氨酯钢桥面单层铺装结构</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首创了免加热、免碾压的连续施工工艺，研发了</w:t>
            </w:r>
            <w:r>
              <w:rPr>
                <w:rFonts w:hint="eastAsia" w:ascii="仿宋" w:hAnsi="仿宋" w:eastAsia="仿宋" w:cs="仿宋"/>
                <w:color w:val="000000" w:themeColor="text1"/>
                <w:sz w:val="24"/>
                <w:szCs w:val="24"/>
                <w:lang w:val="en-US" w:eastAsia="zh-CN"/>
                <w14:textFill>
                  <w14:solidFill>
                    <w14:schemeClr w14:val="tx1"/>
                  </w14:solidFill>
                </w14:textFill>
              </w:rPr>
              <w:t>成套</w:t>
            </w:r>
            <w:r>
              <w:rPr>
                <w:rFonts w:hint="eastAsia" w:ascii="仿宋" w:hAnsi="仿宋" w:eastAsia="仿宋" w:cs="仿宋"/>
                <w:color w:val="000000" w:themeColor="text1"/>
                <w:sz w:val="24"/>
                <w:szCs w:val="24"/>
                <w14:textFill>
                  <w14:solidFill>
                    <w14:schemeClr w14:val="tx1"/>
                  </w14:solidFill>
                </w14:textFill>
              </w:rPr>
              <w:t>关键</w:t>
            </w:r>
            <w:r>
              <w:rPr>
                <w:rFonts w:hint="eastAsia" w:ascii="仿宋" w:hAnsi="仿宋" w:eastAsia="仿宋" w:cs="仿宋"/>
                <w:color w:val="000000" w:themeColor="text1"/>
                <w:sz w:val="24"/>
                <w:szCs w:val="24"/>
                <w:lang w:val="en-US" w:eastAsia="zh-CN"/>
                <w14:textFill>
                  <w14:solidFill>
                    <w14:schemeClr w14:val="tx1"/>
                  </w14:solidFill>
                </w14:textFill>
              </w:rPr>
              <w:t>技术</w:t>
            </w:r>
            <w:r>
              <w:rPr>
                <w:rFonts w:hint="eastAsia" w:ascii="仿宋" w:hAnsi="仿宋" w:eastAsia="仿宋" w:cs="仿宋"/>
                <w:color w:val="000000" w:themeColor="text1"/>
                <w:sz w:val="24"/>
                <w:szCs w:val="24"/>
                <w14:textFill>
                  <w14:solidFill>
                    <w14:schemeClr w14:val="tx1"/>
                  </w14:solidFill>
                </w14:textFill>
              </w:rPr>
              <w:t>装备，克服了我国传统钢桥面铺装核心材料依赖国外进口的“卡脖子”技术问题，具有常温（0℃以上）施工、快速固化、力学性能优异、温度稳定性好、低碳环保和施工快速等特点；发明了大位移六自由度自适应模块式伸缩装置，实现竖向、水平转动0.06 rad 以上，扭转0.01rad以上，竖向位移10cm、横向位移20cm、纵向位移300cm以上，项目</w:t>
            </w:r>
            <w:r>
              <w:rPr>
                <w:rFonts w:hint="eastAsia" w:ascii="仿宋" w:hAnsi="仿宋" w:eastAsia="仿宋" w:cs="仿宋"/>
                <w:color w:val="000000" w:themeColor="text1"/>
                <w:sz w:val="24"/>
                <w:szCs w:val="24"/>
                <w:lang w:val="en-US" w:eastAsia="zh-CN"/>
                <w14:textFill>
                  <w14:solidFill>
                    <w14:schemeClr w14:val="tx1"/>
                  </w14:solidFill>
                </w14:textFill>
              </w:rPr>
              <w:t>创新成果</w:t>
            </w:r>
            <w:r>
              <w:rPr>
                <w:rFonts w:hint="eastAsia" w:ascii="仿宋" w:hAnsi="仿宋" w:eastAsia="仿宋" w:cs="仿宋"/>
                <w:color w:val="000000" w:themeColor="text1"/>
                <w:sz w:val="24"/>
                <w:szCs w:val="24"/>
                <w14:textFill>
                  <w14:solidFill>
                    <w14:schemeClr w14:val="tx1"/>
                  </w14:solidFill>
                </w14:textFill>
              </w:rPr>
              <w:t>总体达到国际领先水平，可适应大规模施工与运营管养要求，有效解决钢桥面铺装和伸缩装置的平顺、安全、耐久问题。</w:t>
            </w:r>
          </w:p>
          <w:p>
            <w:pPr>
              <w:spacing w:line="276"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项目获得授权发明专利 1</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z w:val="24"/>
                <w:szCs w:val="24"/>
                <w:lang w:val="en-US" w:eastAsia="zh-CN"/>
                <w14:textFill>
                  <w14:solidFill>
                    <w14:schemeClr w14:val="tx1"/>
                  </w14:solidFill>
                </w14:textFill>
              </w:rPr>
              <w:t>件</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实用新型专利88件，</w:t>
            </w:r>
            <w:r>
              <w:rPr>
                <w:rFonts w:hint="eastAsia" w:ascii="仿宋" w:hAnsi="仿宋" w:eastAsia="仿宋" w:cs="仿宋"/>
                <w:color w:val="000000" w:themeColor="text1"/>
                <w:sz w:val="24"/>
                <w:szCs w:val="24"/>
                <w14:textFill>
                  <w14:solidFill>
                    <w14:schemeClr w14:val="tx1"/>
                  </w14:solidFill>
                </w14:textFill>
              </w:rPr>
              <w:t>主</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参</w:t>
            </w:r>
            <w:r>
              <w:rPr>
                <w:rFonts w:hint="eastAsia" w:ascii="仿宋" w:hAnsi="仿宋" w:eastAsia="仿宋" w:cs="仿宋"/>
                <w:color w:val="000000" w:themeColor="text1"/>
                <w:sz w:val="24"/>
                <w:szCs w:val="24"/>
                <w:lang w:val="en-US" w:eastAsia="zh-CN"/>
                <w14:textFill>
                  <w14:solidFill>
                    <w14:schemeClr w14:val="tx1"/>
                  </w14:solidFill>
                </w14:textFill>
              </w:rPr>
              <w:t>编规范</w:t>
            </w:r>
            <w:r>
              <w:rPr>
                <w:rFonts w:hint="eastAsia" w:ascii="仿宋" w:hAnsi="仿宋" w:eastAsia="仿宋" w:cs="仿宋"/>
                <w:color w:val="000000" w:themeColor="text1"/>
                <w:sz w:val="24"/>
                <w:szCs w:val="24"/>
                <w14:textFill>
                  <w14:solidFill>
                    <w14:schemeClr w14:val="tx1"/>
                  </w14:solidFill>
                </w14:textFill>
              </w:rPr>
              <w:t xml:space="preserve">标准 6 </w:t>
            </w:r>
            <w:r>
              <w:rPr>
                <w:rFonts w:hint="eastAsia" w:ascii="仿宋" w:hAnsi="仿宋" w:eastAsia="仿宋" w:cs="仿宋"/>
                <w:color w:val="000000" w:themeColor="text1"/>
                <w:sz w:val="24"/>
                <w:szCs w:val="24"/>
                <w:lang w:val="en-US" w:eastAsia="zh-CN"/>
                <w14:textFill>
                  <w14:solidFill>
                    <w14:schemeClr w14:val="tx1"/>
                  </w14:solidFill>
                </w14:textFill>
              </w:rPr>
              <w:t>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发表学术论文 12 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出版</w:t>
            </w:r>
            <w:r>
              <w:rPr>
                <w:rFonts w:hint="eastAsia" w:ascii="仿宋" w:hAnsi="仿宋" w:eastAsia="仿宋" w:cs="仿宋"/>
                <w:color w:val="000000" w:themeColor="text1"/>
                <w:sz w:val="24"/>
                <w:szCs w:val="24"/>
                <w14:textFill>
                  <w14:solidFill>
                    <w14:schemeClr w14:val="tx1"/>
                  </w14:solidFill>
                </w14:textFill>
              </w:rPr>
              <w:t>专著 2 部。创新</w:t>
            </w:r>
            <w:r>
              <w:rPr>
                <w:rFonts w:hint="eastAsia" w:ascii="仿宋" w:hAnsi="仿宋" w:eastAsia="仿宋" w:cs="仿宋"/>
                <w:color w:val="000000" w:themeColor="text1"/>
                <w:sz w:val="24"/>
                <w:szCs w:val="24"/>
                <w:lang w:val="en-US" w:eastAsia="zh-CN"/>
                <w14:textFill>
                  <w14:solidFill>
                    <w14:schemeClr w14:val="tx1"/>
                  </w14:solidFill>
                </w14:textFill>
              </w:rPr>
              <w:t>成果</w:t>
            </w:r>
            <w:r>
              <w:rPr>
                <w:rFonts w:hint="eastAsia" w:ascii="仿宋" w:hAnsi="仿宋" w:eastAsia="仿宋" w:cs="仿宋"/>
                <w:color w:val="000000" w:themeColor="text1"/>
                <w:sz w:val="24"/>
                <w:szCs w:val="24"/>
                <w14:textFill>
                  <w14:solidFill>
                    <w14:schemeClr w14:val="tx1"/>
                  </w14:solidFill>
                </w14:textFill>
              </w:rPr>
              <w:t>在港珠澳大桥、杭州湾跨海大桥、嘉绍大桥、南沙大桥、五峰山大桥、瓯江北口大桥、闵浦大桥和莫桑比克马普托大桥等几十座特大型桥梁工程中得到成功应用，</w:t>
            </w:r>
            <w:r>
              <w:rPr>
                <w:rFonts w:hint="eastAsia" w:ascii="仿宋" w:hAnsi="仿宋" w:eastAsia="仿宋" w:cs="仿宋"/>
                <w:color w:val="000000" w:themeColor="text1"/>
                <w:sz w:val="24"/>
                <w:szCs w:val="24"/>
                <w:lang w:val="en-US" w:eastAsia="zh-CN"/>
                <w14:textFill>
                  <w14:solidFill>
                    <w14:schemeClr w14:val="tx1"/>
                  </w14:solidFill>
                </w14:textFill>
              </w:rPr>
              <w:t>社会</w:t>
            </w:r>
            <w:r>
              <w:rPr>
                <w:rFonts w:hint="eastAsia" w:ascii="仿宋" w:hAnsi="仿宋" w:eastAsia="仿宋" w:cs="仿宋"/>
                <w:color w:val="000000" w:themeColor="text1"/>
                <w:sz w:val="24"/>
                <w:szCs w:val="24"/>
                <w14:textFill>
                  <w14:solidFill>
                    <w14:schemeClr w14:val="tx1"/>
                  </w14:solidFill>
                </w14:textFill>
              </w:rPr>
              <w:t>经济效益显著，全面提升了特大型钢桥的行车性能，实现程式管养，大幅降低了桥梁综合造价和运维成本，促进了交通行业的高质量发展。</w:t>
            </w:r>
          </w:p>
          <w:p>
            <w:pPr>
              <w:spacing w:line="276" w:lineRule="auto"/>
              <w:ind w:firstLine="480" w:firstLineChars="200"/>
              <w:rPr>
                <w:rStyle w:val="38"/>
                <w:rFonts w:eastAsia="仿宋_GB2312"/>
                <w:b w:val="0"/>
                <w:color w:val="auto"/>
              </w:rPr>
            </w:pPr>
            <w:r>
              <w:rPr>
                <w:rFonts w:hint="eastAsia" w:ascii="仿宋" w:hAnsi="仿宋" w:eastAsia="仿宋" w:cs="仿宋"/>
                <w:color w:val="000000" w:themeColor="text1"/>
                <w:sz w:val="24"/>
                <w:szCs w:val="24"/>
                <w14:textFill>
                  <w14:solidFill>
                    <w14:schemeClr w14:val="tx1"/>
                  </w14:solidFill>
                </w14:textFill>
              </w:rPr>
              <w:t>经审查，该项目符合申报要求，同意提名 2022 年度省技术发明奖一等奖。</w:t>
            </w:r>
          </w:p>
        </w:tc>
      </w:tr>
    </w:tbl>
    <w:p>
      <w:pPr>
        <w:adjustRightInd w:val="0"/>
        <w:snapToGrid w:val="0"/>
        <w:spacing w:line="560" w:lineRule="exact"/>
        <w:rPr>
          <w:rFonts w:eastAsia="仿宋_GB2312"/>
          <w:sz w:val="32"/>
          <w:szCs w:val="32"/>
        </w:rPr>
      </w:pPr>
    </w:p>
    <w:sectPr>
      <w:headerReference r:id="rId3" w:type="default"/>
      <w:footerReference r:id="rId4" w:type="default"/>
      <w:pgSz w:w="11906" w:h="16838"/>
      <w:pgMar w:top="2098" w:right="1531" w:bottom="2098"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BD27DE8-A5B1-4366-A14A-5EA86F7BBE15}"/>
  </w:font>
  <w:font w:name="Arial">
    <w:panose1 w:val="020B0604020202020204"/>
    <w:charset w:val="01"/>
    <w:family w:val="swiss"/>
    <w:pitch w:val="default"/>
    <w:sig w:usb0="E0002EFF" w:usb1="C000785B" w:usb2="00000009" w:usb3="00000000" w:csb0="400001FF" w:csb1="FFFF0000"/>
    <w:embedRegular r:id="rId2" w:fontKey="{4B869B38-72C2-4115-BD17-38FFBCCD46D4}"/>
  </w:font>
  <w:font w:name="黑体">
    <w:panose1 w:val="02010609060101010101"/>
    <w:charset w:val="86"/>
    <w:family w:val="auto"/>
    <w:pitch w:val="default"/>
    <w:sig w:usb0="800002BF" w:usb1="38CF7CFA" w:usb2="00000016" w:usb3="00000000" w:csb0="00040001" w:csb1="00000000"/>
    <w:embedRegular r:id="rId3" w:fontKey="{430D79B1-8007-4006-9F41-5701D1E0716B}"/>
  </w:font>
  <w:font w:name="Courier New">
    <w:panose1 w:val="02070309020205020404"/>
    <w:charset w:val="01"/>
    <w:family w:val="modern"/>
    <w:pitch w:val="default"/>
    <w:sig w:usb0="E0002EFF" w:usb1="C0007843" w:usb2="00000009" w:usb3="00000000" w:csb0="400001FF" w:csb1="FFFF0000"/>
    <w:embedRegular r:id="rId4" w:fontKey="{468AC425-D498-4EE7-AA43-43DCB4AC9768}"/>
  </w:font>
  <w:font w:name="Symbol">
    <w:panose1 w:val="05050102010706020507"/>
    <w:charset w:val="02"/>
    <w:family w:val="roman"/>
    <w:pitch w:val="default"/>
    <w:sig w:usb0="00000000" w:usb1="00000000" w:usb2="00000000" w:usb3="00000000" w:csb0="80000000" w:csb1="00000000"/>
    <w:embedRegular r:id="rId5" w:fontKey="{D92E1283-F7EC-405D-9D5C-5DFB45D878BC}"/>
  </w:font>
  <w:font w:name="Calibri">
    <w:panose1 w:val="020F0502020204030204"/>
    <w:charset w:val="00"/>
    <w:family w:val="swiss"/>
    <w:pitch w:val="default"/>
    <w:sig w:usb0="E4002EFF" w:usb1="C000247B" w:usb2="00000009" w:usb3="00000000" w:csb0="200001FF" w:csb1="00000000"/>
    <w:embedRegular r:id="rId6" w:fontKey="{6362B1BD-ED8F-4D13-BB85-2AF38A66707B}"/>
  </w:font>
  <w:font w:name="Cambria">
    <w:panose1 w:val="02040503050406030204"/>
    <w:charset w:val="00"/>
    <w:family w:val="roman"/>
    <w:pitch w:val="default"/>
    <w:sig w:usb0="E00006FF" w:usb1="420024FF" w:usb2="02000000" w:usb3="00000000" w:csb0="2000019F" w:csb1="00000000"/>
    <w:embedRegular r:id="rId7" w:fontKey="{7ACFE30A-59C8-47A1-865B-E750CE0B238F}"/>
  </w:font>
  <w:font w:name="仿宋_GB2312">
    <w:panose1 w:val="02010609030101010101"/>
    <w:charset w:val="86"/>
    <w:family w:val="modern"/>
    <w:pitch w:val="default"/>
    <w:sig w:usb0="00000001" w:usb1="080E0000" w:usb2="00000000" w:usb3="00000000" w:csb0="00040000" w:csb1="00000000"/>
    <w:embedRegular r:id="rId8" w:fontKey="{55621A8F-6FA0-461C-9FB0-76778F6359AA}"/>
  </w:font>
  <w:font w:name="方正仿宋简体">
    <w:altName w:val="微软雅黑"/>
    <w:panose1 w:val="00000000000000000000"/>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9" w:fontKey="{B44727AB-1DB6-47CB-8108-57603A931F5E}"/>
  </w:font>
  <w:font w:name="仿宋">
    <w:panose1 w:val="02010609060101010101"/>
    <w:charset w:val="86"/>
    <w:family w:val="modern"/>
    <w:pitch w:val="default"/>
    <w:sig w:usb0="800002BF" w:usb1="38CF7CFA" w:usb2="00000016" w:usb3="00000000" w:csb0="00040001" w:csb1="00000000"/>
    <w:embedRegular r:id="rId10" w:fontKey="{8F5425F7-7067-4F00-A86D-1E2F4839BF3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872D86"/>
    <w:multiLevelType w:val="multilevel"/>
    <w:tmpl w:val="40872D86"/>
    <w:lvl w:ilvl="0" w:tentative="0">
      <w:start w:val="1"/>
      <w:numFmt w:val="decimal"/>
      <w:suff w:val="spac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5E0515E"/>
    <w:multiLevelType w:val="multilevel"/>
    <w:tmpl w:val="75E0515E"/>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2M2M5ZGMwNmU3ODJjZjg0Y2UxYjQ3Nzc1ZmFlYjkifQ=="/>
    <w:docVar w:name="KSO_WPS_MARK_KEY" w:val="bf86d947-bd17-44d7-9c16-49123376ee72"/>
  </w:docVars>
  <w:rsids>
    <w:rsidRoot w:val="007C28FF"/>
    <w:rsid w:val="00006056"/>
    <w:rsid w:val="00007BBE"/>
    <w:rsid w:val="000117FA"/>
    <w:rsid w:val="000144F8"/>
    <w:rsid w:val="000165DC"/>
    <w:rsid w:val="000205CC"/>
    <w:rsid w:val="00031E44"/>
    <w:rsid w:val="00033288"/>
    <w:rsid w:val="0004004D"/>
    <w:rsid w:val="00051BE3"/>
    <w:rsid w:val="00053F24"/>
    <w:rsid w:val="0006546D"/>
    <w:rsid w:val="00066016"/>
    <w:rsid w:val="00067E32"/>
    <w:rsid w:val="00073B46"/>
    <w:rsid w:val="00083906"/>
    <w:rsid w:val="000847FC"/>
    <w:rsid w:val="000929AE"/>
    <w:rsid w:val="000A0FE4"/>
    <w:rsid w:val="000B70B3"/>
    <w:rsid w:val="000C3B47"/>
    <w:rsid w:val="000C632A"/>
    <w:rsid w:val="000F1229"/>
    <w:rsid w:val="000F2CC3"/>
    <w:rsid w:val="000F6066"/>
    <w:rsid w:val="000F6517"/>
    <w:rsid w:val="000F6B39"/>
    <w:rsid w:val="000F7732"/>
    <w:rsid w:val="001039E9"/>
    <w:rsid w:val="00104F03"/>
    <w:rsid w:val="0012430D"/>
    <w:rsid w:val="001348AE"/>
    <w:rsid w:val="001435CC"/>
    <w:rsid w:val="00143882"/>
    <w:rsid w:val="001439BC"/>
    <w:rsid w:val="00152D8F"/>
    <w:rsid w:val="00153E23"/>
    <w:rsid w:val="00154376"/>
    <w:rsid w:val="001553CE"/>
    <w:rsid w:val="001614FC"/>
    <w:rsid w:val="00163AA5"/>
    <w:rsid w:val="00165962"/>
    <w:rsid w:val="00171419"/>
    <w:rsid w:val="0017168F"/>
    <w:rsid w:val="00172167"/>
    <w:rsid w:val="00173D65"/>
    <w:rsid w:val="001829B2"/>
    <w:rsid w:val="00185449"/>
    <w:rsid w:val="001914CA"/>
    <w:rsid w:val="00192701"/>
    <w:rsid w:val="0019371C"/>
    <w:rsid w:val="001A45A0"/>
    <w:rsid w:val="001A5554"/>
    <w:rsid w:val="001A55E6"/>
    <w:rsid w:val="001B0C22"/>
    <w:rsid w:val="001B454D"/>
    <w:rsid w:val="001B52AA"/>
    <w:rsid w:val="001C4D6D"/>
    <w:rsid w:val="001D3908"/>
    <w:rsid w:val="001D497B"/>
    <w:rsid w:val="001E02BA"/>
    <w:rsid w:val="001F032B"/>
    <w:rsid w:val="001F2C76"/>
    <w:rsid w:val="001F7F40"/>
    <w:rsid w:val="00210961"/>
    <w:rsid w:val="00212129"/>
    <w:rsid w:val="00213CE9"/>
    <w:rsid w:val="0021734C"/>
    <w:rsid w:val="002242B0"/>
    <w:rsid w:val="002247F4"/>
    <w:rsid w:val="00230FE9"/>
    <w:rsid w:val="0023223F"/>
    <w:rsid w:val="00235713"/>
    <w:rsid w:val="00244749"/>
    <w:rsid w:val="00247A49"/>
    <w:rsid w:val="002508F2"/>
    <w:rsid w:val="00251808"/>
    <w:rsid w:val="002579D1"/>
    <w:rsid w:val="0026581D"/>
    <w:rsid w:val="00273EA1"/>
    <w:rsid w:val="002745F8"/>
    <w:rsid w:val="00283031"/>
    <w:rsid w:val="00292515"/>
    <w:rsid w:val="0029509E"/>
    <w:rsid w:val="00296134"/>
    <w:rsid w:val="002A2925"/>
    <w:rsid w:val="002A7955"/>
    <w:rsid w:val="002B3198"/>
    <w:rsid w:val="002C6803"/>
    <w:rsid w:val="002C6E65"/>
    <w:rsid w:val="002D1FA7"/>
    <w:rsid w:val="002D3BA3"/>
    <w:rsid w:val="002E3C77"/>
    <w:rsid w:val="002E42A8"/>
    <w:rsid w:val="002E43DB"/>
    <w:rsid w:val="002F1911"/>
    <w:rsid w:val="002F74D2"/>
    <w:rsid w:val="0030543F"/>
    <w:rsid w:val="003063D6"/>
    <w:rsid w:val="00307011"/>
    <w:rsid w:val="00311F89"/>
    <w:rsid w:val="003125EF"/>
    <w:rsid w:val="00326352"/>
    <w:rsid w:val="00330554"/>
    <w:rsid w:val="00331B99"/>
    <w:rsid w:val="00335C77"/>
    <w:rsid w:val="00336678"/>
    <w:rsid w:val="00340314"/>
    <w:rsid w:val="00343DF4"/>
    <w:rsid w:val="00347614"/>
    <w:rsid w:val="00356B8A"/>
    <w:rsid w:val="003626C8"/>
    <w:rsid w:val="00363C7E"/>
    <w:rsid w:val="00370977"/>
    <w:rsid w:val="00377C1C"/>
    <w:rsid w:val="00382214"/>
    <w:rsid w:val="00382EDD"/>
    <w:rsid w:val="003860EF"/>
    <w:rsid w:val="00386D85"/>
    <w:rsid w:val="00390DE9"/>
    <w:rsid w:val="003A026D"/>
    <w:rsid w:val="003A08CF"/>
    <w:rsid w:val="003A343A"/>
    <w:rsid w:val="003A466E"/>
    <w:rsid w:val="003A5D0E"/>
    <w:rsid w:val="003A60A7"/>
    <w:rsid w:val="003B0906"/>
    <w:rsid w:val="003B2A50"/>
    <w:rsid w:val="003B3345"/>
    <w:rsid w:val="003C1234"/>
    <w:rsid w:val="003C4124"/>
    <w:rsid w:val="003E6BFB"/>
    <w:rsid w:val="003F0278"/>
    <w:rsid w:val="003F1E9D"/>
    <w:rsid w:val="003F4AB6"/>
    <w:rsid w:val="003F76A0"/>
    <w:rsid w:val="00401E30"/>
    <w:rsid w:val="004058E3"/>
    <w:rsid w:val="004179C8"/>
    <w:rsid w:val="00427A6E"/>
    <w:rsid w:val="004300EE"/>
    <w:rsid w:val="0043080F"/>
    <w:rsid w:val="00442705"/>
    <w:rsid w:val="00444A55"/>
    <w:rsid w:val="0044700B"/>
    <w:rsid w:val="0044760A"/>
    <w:rsid w:val="00453528"/>
    <w:rsid w:val="00453C0E"/>
    <w:rsid w:val="00461A90"/>
    <w:rsid w:val="004820BD"/>
    <w:rsid w:val="00484A1D"/>
    <w:rsid w:val="00484D69"/>
    <w:rsid w:val="004929AC"/>
    <w:rsid w:val="00492EAC"/>
    <w:rsid w:val="004A6419"/>
    <w:rsid w:val="004B33C9"/>
    <w:rsid w:val="004B531C"/>
    <w:rsid w:val="004C2337"/>
    <w:rsid w:val="004D3106"/>
    <w:rsid w:val="004D55B5"/>
    <w:rsid w:val="004E11C6"/>
    <w:rsid w:val="004E36AB"/>
    <w:rsid w:val="004F503B"/>
    <w:rsid w:val="004F551A"/>
    <w:rsid w:val="005002DF"/>
    <w:rsid w:val="00500EBD"/>
    <w:rsid w:val="00504232"/>
    <w:rsid w:val="0050638A"/>
    <w:rsid w:val="00510598"/>
    <w:rsid w:val="00510C66"/>
    <w:rsid w:val="00511F4B"/>
    <w:rsid w:val="0051372C"/>
    <w:rsid w:val="00521ED7"/>
    <w:rsid w:val="00526964"/>
    <w:rsid w:val="00532D5A"/>
    <w:rsid w:val="005354E4"/>
    <w:rsid w:val="00544032"/>
    <w:rsid w:val="00552729"/>
    <w:rsid w:val="005663D6"/>
    <w:rsid w:val="0057056C"/>
    <w:rsid w:val="00570701"/>
    <w:rsid w:val="0057414B"/>
    <w:rsid w:val="0057576E"/>
    <w:rsid w:val="0058367D"/>
    <w:rsid w:val="00586D66"/>
    <w:rsid w:val="00591FB1"/>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07E3B"/>
    <w:rsid w:val="00611BDC"/>
    <w:rsid w:val="006177DC"/>
    <w:rsid w:val="00623BD2"/>
    <w:rsid w:val="00626265"/>
    <w:rsid w:val="006269F8"/>
    <w:rsid w:val="00630A9E"/>
    <w:rsid w:val="00642EBC"/>
    <w:rsid w:val="00643B2E"/>
    <w:rsid w:val="00646AD1"/>
    <w:rsid w:val="0065509C"/>
    <w:rsid w:val="00670053"/>
    <w:rsid w:val="006716EF"/>
    <w:rsid w:val="00672306"/>
    <w:rsid w:val="00673E71"/>
    <w:rsid w:val="00674219"/>
    <w:rsid w:val="006801B9"/>
    <w:rsid w:val="0068168C"/>
    <w:rsid w:val="006823DB"/>
    <w:rsid w:val="00692309"/>
    <w:rsid w:val="00694DDB"/>
    <w:rsid w:val="006A1E31"/>
    <w:rsid w:val="006A390F"/>
    <w:rsid w:val="006A580A"/>
    <w:rsid w:val="006A5AB2"/>
    <w:rsid w:val="006B34CD"/>
    <w:rsid w:val="006C141C"/>
    <w:rsid w:val="006C528F"/>
    <w:rsid w:val="006C691E"/>
    <w:rsid w:val="006C6CA7"/>
    <w:rsid w:val="006D10DB"/>
    <w:rsid w:val="006D59C3"/>
    <w:rsid w:val="006E4386"/>
    <w:rsid w:val="006E5310"/>
    <w:rsid w:val="006F0C81"/>
    <w:rsid w:val="006F5EED"/>
    <w:rsid w:val="006F7780"/>
    <w:rsid w:val="007116D0"/>
    <w:rsid w:val="00721ACB"/>
    <w:rsid w:val="00725CE5"/>
    <w:rsid w:val="0073019F"/>
    <w:rsid w:val="00734046"/>
    <w:rsid w:val="00735560"/>
    <w:rsid w:val="00736027"/>
    <w:rsid w:val="007370E0"/>
    <w:rsid w:val="00745D4A"/>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5ADC"/>
    <w:rsid w:val="007B7CAA"/>
    <w:rsid w:val="007C28FF"/>
    <w:rsid w:val="007C5AC5"/>
    <w:rsid w:val="007D2437"/>
    <w:rsid w:val="007D26E7"/>
    <w:rsid w:val="007D58D1"/>
    <w:rsid w:val="007D68D7"/>
    <w:rsid w:val="007E17CF"/>
    <w:rsid w:val="007F4E28"/>
    <w:rsid w:val="007F5A15"/>
    <w:rsid w:val="007F6A47"/>
    <w:rsid w:val="0080157D"/>
    <w:rsid w:val="008042D8"/>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97BC4"/>
    <w:rsid w:val="008A09D1"/>
    <w:rsid w:val="008A37FE"/>
    <w:rsid w:val="008B5F0B"/>
    <w:rsid w:val="008B78AD"/>
    <w:rsid w:val="008C37F3"/>
    <w:rsid w:val="008C5BE5"/>
    <w:rsid w:val="008C7FED"/>
    <w:rsid w:val="008D4B84"/>
    <w:rsid w:val="0090207D"/>
    <w:rsid w:val="00902413"/>
    <w:rsid w:val="0090595F"/>
    <w:rsid w:val="0090670A"/>
    <w:rsid w:val="00906781"/>
    <w:rsid w:val="009211BA"/>
    <w:rsid w:val="00922838"/>
    <w:rsid w:val="009339E2"/>
    <w:rsid w:val="00942CCA"/>
    <w:rsid w:val="00944C6A"/>
    <w:rsid w:val="00945930"/>
    <w:rsid w:val="00947118"/>
    <w:rsid w:val="009529F5"/>
    <w:rsid w:val="009572C9"/>
    <w:rsid w:val="009607CA"/>
    <w:rsid w:val="0096088C"/>
    <w:rsid w:val="0097262A"/>
    <w:rsid w:val="009728CB"/>
    <w:rsid w:val="00975273"/>
    <w:rsid w:val="009764E0"/>
    <w:rsid w:val="009812B1"/>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44F5"/>
    <w:rsid w:val="00A1508E"/>
    <w:rsid w:val="00A156D9"/>
    <w:rsid w:val="00A243BC"/>
    <w:rsid w:val="00A27943"/>
    <w:rsid w:val="00A31D43"/>
    <w:rsid w:val="00A36061"/>
    <w:rsid w:val="00A402C6"/>
    <w:rsid w:val="00A5008B"/>
    <w:rsid w:val="00A537A0"/>
    <w:rsid w:val="00A61479"/>
    <w:rsid w:val="00A65CD4"/>
    <w:rsid w:val="00A70F4C"/>
    <w:rsid w:val="00A736E3"/>
    <w:rsid w:val="00A86D79"/>
    <w:rsid w:val="00AA6478"/>
    <w:rsid w:val="00AA6A67"/>
    <w:rsid w:val="00AB2670"/>
    <w:rsid w:val="00AB2B0F"/>
    <w:rsid w:val="00AC096E"/>
    <w:rsid w:val="00AC5736"/>
    <w:rsid w:val="00AC69B7"/>
    <w:rsid w:val="00AC7691"/>
    <w:rsid w:val="00AD689E"/>
    <w:rsid w:val="00AD7D6F"/>
    <w:rsid w:val="00AE189B"/>
    <w:rsid w:val="00AE5A16"/>
    <w:rsid w:val="00AF0A71"/>
    <w:rsid w:val="00AF2833"/>
    <w:rsid w:val="00AF2A0E"/>
    <w:rsid w:val="00AF64EA"/>
    <w:rsid w:val="00B03355"/>
    <w:rsid w:val="00B0469B"/>
    <w:rsid w:val="00B127DF"/>
    <w:rsid w:val="00B14566"/>
    <w:rsid w:val="00B237EB"/>
    <w:rsid w:val="00B24D94"/>
    <w:rsid w:val="00B268E1"/>
    <w:rsid w:val="00B269D7"/>
    <w:rsid w:val="00B303C2"/>
    <w:rsid w:val="00B362C3"/>
    <w:rsid w:val="00B43F7F"/>
    <w:rsid w:val="00B5127B"/>
    <w:rsid w:val="00B63A00"/>
    <w:rsid w:val="00B651CC"/>
    <w:rsid w:val="00B73F27"/>
    <w:rsid w:val="00B74C14"/>
    <w:rsid w:val="00B86FDE"/>
    <w:rsid w:val="00B92BAD"/>
    <w:rsid w:val="00B9520A"/>
    <w:rsid w:val="00B979F5"/>
    <w:rsid w:val="00BA07A7"/>
    <w:rsid w:val="00BA3056"/>
    <w:rsid w:val="00BB47F3"/>
    <w:rsid w:val="00BD0ED0"/>
    <w:rsid w:val="00BD24D3"/>
    <w:rsid w:val="00BE7259"/>
    <w:rsid w:val="00C10571"/>
    <w:rsid w:val="00C20AA7"/>
    <w:rsid w:val="00C24E7B"/>
    <w:rsid w:val="00C24EE0"/>
    <w:rsid w:val="00C30525"/>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855"/>
    <w:rsid w:val="00CF0ED4"/>
    <w:rsid w:val="00CF10A0"/>
    <w:rsid w:val="00D0393D"/>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3319"/>
    <w:rsid w:val="00D97840"/>
    <w:rsid w:val="00DA02D9"/>
    <w:rsid w:val="00DC0F80"/>
    <w:rsid w:val="00DC1C67"/>
    <w:rsid w:val="00DD7D0E"/>
    <w:rsid w:val="00DF02D4"/>
    <w:rsid w:val="00DF2AD8"/>
    <w:rsid w:val="00DF7FCB"/>
    <w:rsid w:val="00E066BD"/>
    <w:rsid w:val="00E1736F"/>
    <w:rsid w:val="00E17FF5"/>
    <w:rsid w:val="00E26009"/>
    <w:rsid w:val="00E3162A"/>
    <w:rsid w:val="00E37C85"/>
    <w:rsid w:val="00E407C9"/>
    <w:rsid w:val="00E448E6"/>
    <w:rsid w:val="00E46BD6"/>
    <w:rsid w:val="00E5280E"/>
    <w:rsid w:val="00E5401A"/>
    <w:rsid w:val="00E55EDB"/>
    <w:rsid w:val="00E56172"/>
    <w:rsid w:val="00E60002"/>
    <w:rsid w:val="00E63C4E"/>
    <w:rsid w:val="00E730DF"/>
    <w:rsid w:val="00E74D76"/>
    <w:rsid w:val="00E754A7"/>
    <w:rsid w:val="00E81909"/>
    <w:rsid w:val="00E83D1D"/>
    <w:rsid w:val="00E83D4E"/>
    <w:rsid w:val="00E84A18"/>
    <w:rsid w:val="00E84C25"/>
    <w:rsid w:val="00E84FF9"/>
    <w:rsid w:val="00E86E74"/>
    <w:rsid w:val="00E93BC2"/>
    <w:rsid w:val="00EA7020"/>
    <w:rsid w:val="00EB2FD4"/>
    <w:rsid w:val="00EB7300"/>
    <w:rsid w:val="00EC5664"/>
    <w:rsid w:val="00ED130C"/>
    <w:rsid w:val="00ED31B6"/>
    <w:rsid w:val="00EE0CE1"/>
    <w:rsid w:val="00EE1078"/>
    <w:rsid w:val="00EE7FC6"/>
    <w:rsid w:val="00EF79B0"/>
    <w:rsid w:val="00F024DB"/>
    <w:rsid w:val="00F11A1C"/>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789"/>
    <w:rsid w:val="00F90DFB"/>
    <w:rsid w:val="00F91089"/>
    <w:rsid w:val="00F94DE6"/>
    <w:rsid w:val="00FA33E4"/>
    <w:rsid w:val="00FB0D99"/>
    <w:rsid w:val="00FB523A"/>
    <w:rsid w:val="00FB5471"/>
    <w:rsid w:val="00FB606D"/>
    <w:rsid w:val="00FC18D8"/>
    <w:rsid w:val="00FC5A70"/>
    <w:rsid w:val="00FC7BB3"/>
    <w:rsid w:val="00FC7D4F"/>
    <w:rsid w:val="00FD0CCE"/>
    <w:rsid w:val="00FD3CB2"/>
    <w:rsid w:val="00FE187C"/>
    <w:rsid w:val="00FE48C9"/>
    <w:rsid w:val="00FE69B2"/>
    <w:rsid w:val="00FF48B9"/>
    <w:rsid w:val="00FF49EB"/>
    <w:rsid w:val="017A5E2F"/>
    <w:rsid w:val="01F71F2A"/>
    <w:rsid w:val="023B7596"/>
    <w:rsid w:val="02883661"/>
    <w:rsid w:val="02C848FD"/>
    <w:rsid w:val="04854128"/>
    <w:rsid w:val="04A9605B"/>
    <w:rsid w:val="04B12632"/>
    <w:rsid w:val="04C7450D"/>
    <w:rsid w:val="05B31193"/>
    <w:rsid w:val="063B5B78"/>
    <w:rsid w:val="07CA76CE"/>
    <w:rsid w:val="08E33793"/>
    <w:rsid w:val="08E91129"/>
    <w:rsid w:val="09434D9D"/>
    <w:rsid w:val="09C556F2"/>
    <w:rsid w:val="09F92B1D"/>
    <w:rsid w:val="0A694752"/>
    <w:rsid w:val="0AB42620"/>
    <w:rsid w:val="0AD10D6A"/>
    <w:rsid w:val="0BB30987"/>
    <w:rsid w:val="0DF07EE3"/>
    <w:rsid w:val="0E041F62"/>
    <w:rsid w:val="0E643518"/>
    <w:rsid w:val="0F2B35A4"/>
    <w:rsid w:val="0FD92F31"/>
    <w:rsid w:val="0FE97C61"/>
    <w:rsid w:val="10344DD0"/>
    <w:rsid w:val="107514F4"/>
    <w:rsid w:val="10DD4EBB"/>
    <w:rsid w:val="112C3E36"/>
    <w:rsid w:val="12266523"/>
    <w:rsid w:val="12435D4E"/>
    <w:rsid w:val="132C233E"/>
    <w:rsid w:val="14917BD3"/>
    <w:rsid w:val="14C84232"/>
    <w:rsid w:val="14CB1F4D"/>
    <w:rsid w:val="14F6349C"/>
    <w:rsid w:val="15642477"/>
    <w:rsid w:val="15F93F79"/>
    <w:rsid w:val="16287BC3"/>
    <w:rsid w:val="16693DC2"/>
    <w:rsid w:val="16AD7FB9"/>
    <w:rsid w:val="17EDC74B"/>
    <w:rsid w:val="183F1493"/>
    <w:rsid w:val="18D07C10"/>
    <w:rsid w:val="18FC4FBA"/>
    <w:rsid w:val="190768CF"/>
    <w:rsid w:val="19630365"/>
    <w:rsid w:val="19AF3334"/>
    <w:rsid w:val="1A604FC3"/>
    <w:rsid w:val="1AAB4A91"/>
    <w:rsid w:val="1B0E4ACA"/>
    <w:rsid w:val="1B8B48E8"/>
    <w:rsid w:val="1C3E3265"/>
    <w:rsid w:val="1C9808FD"/>
    <w:rsid w:val="1CD427BA"/>
    <w:rsid w:val="1D632E00"/>
    <w:rsid w:val="1D934311"/>
    <w:rsid w:val="1DF52CC8"/>
    <w:rsid w:val="1E065132"/>
    <w:rsid w:val="1E1862E1"/>
    <w:rsid w:val="1E9C7906"/>
    <w:rsid w:val="1F096FB1"/>
    <w:rsid w:val="1F3E7406"/>
    <w:rsid w:val="206D5B12"/>
    <w:rsid w:val="210838D9"/>
    <w:rsid w:val="217A28E4"/>
    <w:rsid w:val="22873147"/>
    <w:rsid w:val="229233C9"/>
    <w:rsid w:val="23571659"/>
    <w:rsid w:val="23737E65"/>
    <w:rsid w:val="23DA218B"/>
    <w:rsid w:val="24B57BF9"/>
    <w:rsid w:val="251C78A5"/>
    <w:rsid w:val="254D1128"/>
    <w:rsid w:val="25F06AB8"/>
    <w:rsid w:val="26574DB4"/>
    <w:rsid w:val="27143262"/>
    <w:rsid w:val="275B723E"/>
    <w:rsid w:val="27E50DCB"/>
    <w:rsid w:val="28436AA3"/>
    <w:rsid w:val="28805101"/>
    <w:rsid w:val="28967861"/>
    <w:rsid w:val="29F90ABD"/>
    <w:rsid w:val="2A213392"/>
    <w:rsid w:val="2A465F84"/>
    <w:rsid w:val="2A4F18CC"/>
    <w:rsid w:val="2A5700B2"/>
    <w:rsid w:val="2AC96FF6"/>
    <w:rsid w:val="2B0E5044"/>
    <w:rsid w:val="2B5E7BEB"/>
    <w:rsid w:val="2C1D56FD"/>
    <w:rsid w:val="2C5A5D16"/>
    <w:rsid w:val="2C96444C"/>
    <w:rsid w:val="2D441354"/>
    <w:rsid w:val="2D473D7A"/>
    <w:rsid w:val="2D5304A2"/>
    <w:rsid w:val="2D68079A"/>
    <w:rsid w:val="2D9046AB"/>
    <w:rsid w:val="2DF700D9"/>
    <w:rsid w:val="2E4550FC"/>
    <w:rsid w:val="2E514683"/>
    <w:rsid w:val="2EBACCEC"/>
    <w:rsid w:val="2F054636"/>
    <w:rsid w:val="2F276578"/>
    <w:rsid w:val="2F917CA1"/>
    <w:rsid w:val="2FFC7DCE"/>
    <w:rsid w:val="30CD711A"/>
    <w:rsid w:val="32C1444F"/>
    <w:rsid w:val="338728D9"/>
    <w:rsid w:val="33B141A9"/>
    <w:rsid w:val="33D20888"/>
    <w:rsid w:val="35BC17F0"/>
    <w:rsid w:val="35C65473"/>
    <w:rsid w:val="35F10F8D"/>
    <w:rsid w:val="374F01EB"/>
    <w:rsid w:val="376D011C"/>
    <w:rsid w:val="37F86DB7"/>
    <w:rsid w:val="38891DB8"/>
    <w:rsid w:val="38A16843"/>
    <w:rsid w:val="398F5D75"/>
    <w:rsid w:val="3A6D4314"/>
    <w:rsid w:val="3ABA7D5B"/>
    <w:rsid w:val="3B7E1C20"/>
    <w:rsid w:val="3C4F4F38"/>
    <w:rsid w:val="3CBF0DE9"/>
    <w:rsid w:val="3CE416AE"/>
    <w:rsid w:val="3E43485C"/>
    <w:rsid w:val="3EAD0C0C"/>
    <w:rsid w:val="3F23643C"/>
    <w:rsid w:val="3F7FF403"/>
    <w:rsid w:val="3FC921F2"/>
    <w:rsid w:val="426A3716"/>
    <w:rsid w:val="436C4015"/>
    <w:rsid w:val="43D025F5"/>
    <w:rsid w:val="443600D3"/>
    <w:rsid w:val="459C73B1"/>
    <w:rsid w:val="472E36B4"/>
    <w:rsid w:val="48B76D8F"/>
    <w:rsid w:val="49A07007"/>
    <w:rsid w:val="49DD2383"/>
    <w:rsid w:val="4A78588E"/>
    <w:rsid w:val="4C76087D"/>
    <w:rsid w:val="4CA639F1"/>
    <w:rsid w:val="4DD314A2"/>
    <w:rsid w:val="4E3E0B9C"/>
    <w:rsid w:val="4EC76DE4"/>
    <w:rsid w:val="4F606045"/>
    <w:rsid w:val="545B74F3"/>
    <w:rsid w:val="5552317F"/>
    <w:rsid w:val="557E53F1"/>
    <w:rsid w:val="573477B4"/>
    <w:rsid w:val="57E61A10"/>
    <w:rsid w:val="57FF4FBB"/>
    <w:rsid w:val="583D66DB"/>
    <w:rsid w:val="58BB54C9"/>
    <w:rsid w:val="58D36AC3"/>
    <w:rsid w:val="594E097A"/>
    <w:rsid w:val="59F65C7E"/>
    <w:rsid w:val="5A1D69F6"/>
    <w:rsid w:val="5A9E261A"/>
    <w:rsid w:val="5B1909C7"/>
    <w:rsid w:val="5B64133E"/>
    <w:rsid w:val="5B9A4CA7"/>
    <w:rsid w:val="5BB501BD"/>
    <w:rsid w:val="5D7A3760"/>
    <w:rsid w:val="5D981ABC"/>
    <w:rsid w:val="5DB06C95"/>
    <w:rsid w:val="5E2911F5"/>
    <w:rsid w:val="5E816805"/>
    <w:rsid w:val="5EAB238F"/>
    <w:rsid w:val="5F2D2C93"/>
    <w:rsid w:val="5F487ACD"/>
    <w:rsid w:val="5FBF5A6B"/>
    <w:rsid w:val="60586756"/>
    <w:rsid w:val="608D3728"/>
    <w:rsid w:val="60E63616"/>
    <w:rsid w:val="60FB2C8B"/>
    <w:rsid w:val="612734A9"/>
    <w:rsid w:val="61907CF7"/>
    <w:rsid w:val="61C548D6"/>
    <w:rsid w:val="63123A52"/>
    <w:rsid w:val="6340548C"/>
    <w:rsid w:val="63441F36"/>
    <w:rsid w:val="641941AB"/>
    <w:rsid w:val="64C701D0"/>
    <w:rsid w:val="64FF0C2E"/>
    <w:rsid w:val="657E0B48"/>
    <w:rsid w:val="660F30F2"/>
    <w:rsid w:val="67FA3CBD"/>
    <w:rsid w:val="67FF5FF1"/>
    <w:rsid w:val="68036093"/>
    <w:rsid w:val="68442565"/>
    <w:rsid w:val="688D6DBF"/>
    <w:rsid w:val="68AE5834"/>
    <w:rsid w:val="69BE70C4"/>
    <w:rsid w:val="6A2A1384"/>
    <w:rsid w:val="6AFE3735"/>
    <w:rsid w:val="6AFEE48C"/>
    <w:rsid w:val="6B5E0AAF"/>
    <w:rsid w:val="6BD31768"/>
    <w:rsid w:val="6D103417"/>
    <w:rsid w:val="6D342528"/>
    <w:rsid w:val="6D73A7A8"/>
    <w:rsid w:val="6DDB346D"/>
    <w:rsid w:val="6DED540B"/>
    <w:rsid w:val="6EC205F2"/>
    <w:rsid w:val="6EF51602"/>
    <w:rsid w:val="6FAC19B2"/>
    <w:rsid w:val="700B1339"/>
    <w:rsid w:val="70A408DB"/>
    <w:rsid w:val="712076FB"/>
    <w:rsid w:val="717383BB"/>
    <w:rsid w:val="71EE2967"/>
    <w:rsid w:val="72FB5971"/>
    <w:rsid w:val="7367CFA8"/>
    <w:rsid w:val="7368470D"/>
    <w:rsid w:val="73762533"/>
    <w:rsid w:val="73F6855F"/>
    <w:rsid w:val="74507E06"/>
    <w:rsid w:val="74FD2CB8"/>
    <w:rsid w:val="75FF44DB"/>
    <w:rsid w:val="76413F68"/>
    <w:rsid w:val="765C6DB5"/>
    <w:rsid w:val="77210E87"/>
    <w:rsid w:val="77B1FF77"/>
    <w:rsid w:val="77F42E49"/>
    <w:rsid w:val="78171102"/>
    <w:rsid w:val="797F503F"/>
    <w:rsid w:val="799A7C87"/>
    <w:rsid w:val="7A6B49A6"/>
    <w:rsid w:val="7B5615BC"/>
    <w:rsid w:val="7B973D59"/>
    <w:rsid w:val="7BAE59D5"/>
    <w:rsid w:val="7BEC7AA8"/>
    <w:rsid w:val="7BFE8EC0"/>
    <w:rsid w:val="7C4D3B6E"/>
    <w:rsid w:val="7D950E42"/>
    <w:rsid w:val="7DF77DD2"/>
    <w:rsid w:val="7DFFA53F"/>
    <w:rsid w:val="7EE45FFC"/>
    <w:rsid w:val="7F2FE11E"/>
    <w:rsid w:val="7F7BA24F"/>
    <w:rsid w:val="7FAB99E8"/>
    <w:rsid w:val="7FB56661"/>
    <w:rsid w:val="7FB746D5"/>
    <w:rsid w:val="7FDE543C"/>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5"/>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semiHidden/>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1"/>
    <w:semiHidden/>
    <w:unhideWhenUsed/>
    <w:qFormat/>
    <w:uiPriority w:val="99"/>
    <w:pPr>
      <w:widowControl/>
      <w:jc w:val="left"/>
    </w:pPr>
  </w:style>
  <w:style w:type="paragraph" w:styleId="6">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7">
    <w:name w:val="Plain Text"/>
    <w:basedOn w:val="1"/>
    <w:link w:val="32"/>
    <w:qFormat/>
    <w:uiPriority w:val="0"/>
    <w:pPr>
      <w:spacing w:line="360" w:lineRule="auto"/>
      <w:ind w:firstLine="480" w:firstLineChars="200"/>
    </w:pPr>
    <w:rPr>
      <w:rFonts w:ascii="仿宋_GB2312"/>
      <w:sz w:val="24"/>
    </w:rPr>
  </w:style>
  <w:style w:type="paragraph" w:styleId="8">
    <w:name w:val="Body Text Indent 2"/>
    <w:basedOn w:val="1"/>
    <w:link w:val="35"/>
    <w:qFormat/>
    <w:uiPriority w:val="0"/>
    <w:pPr>
      <w:widowControl/>
      <w:ind w:firstLine="562" w:firstLineChars="200"/>
      <w:jc w:val="left"/>
    </w:pPr>
    <w:rPr>
      <w:b/>
      <w:bCs/>
      <w:sz w:val="28"/>
      <w:szCs w:val="24"/>
    </w:rPr>
  </w:style>
  <w:style w:type="paragraph" w:styleId="9">
    <w:name w:val="Balloon Text"/>
    <w:basedOn w:val="1"/>
    <w:link w:val="30"/>
    <w:semiHidden/>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5">
    <w:name w:val="Title"/>
    <w:basedOn w:val="1"/>
    <w:next w:val="1"/>
    <w:link w:val="36"/>
    <w:qFormat/>
    <w:uiPriority w:val="0"/>
    <w:pPr>
      <w:widowControl/>
      <w:spacing w:before="240" w:after="60"/>
      <w:jc w:val="center"/>
      <w:outlineLvl w:val="0"/>
    </w:pPr>
    <w:rPr>
      <w:rFonts w:ascii="Cambria" w:hAnsi="Cambria" w:eastAsia="黑体"/>
      <w:b/>
      <w:bCs/>
      <w:sz w:val="52"/>
      <w:szCs w:val="32"/>
    </w:rPr>
  </w:style>
  <w:style w:type="paragraph" w:styleId="16">
    <w:name w:val="annotation subject"/>
    <w:basedOn w:val="5"/>
    <w:next w:val="5"/>
    <w:link w:val="37"/>
    <w:semiHidden/>
    <w:unhideWhenUsed/>
    <w:qFormat/>
    <w:uiPriority w:val="99"/>
    <w:rPr>
      <w:b/>
      <w:bCs/>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Emphasis"/>
    <w:basedOn w:val="19"/>
    <w:qFormat/>
    <w:uiPriority w:val="20"/>
    <w:rPr>
      <w:i/>
      <w:iCs/>
    </w:rPr>
  </w:style>
  <w:style w:type="character" w:styleId="23">
    <w:name w:val="Hyperlink"/>
    <w:qFormat/>
    <w:uiPriority w:val="99"/>
    <w:rPr>
      <w:color w:val="0000FF"/>
      <w:u w:val="single"/>
    </w:rPr>
  </w:style>
  <w:style w:type="character" w:styleId="24">
    <w:name w:val="annotation reference"/>
    <w:basedOn w:val="19"/>
    <w:semiHidden/>
    <w:unhideWhenUsed/>
    <w:qFormat/>
    <w:uiPriority w:val="99"/>
    <w:rPr>
      <w:sz w:val="21"/>
      <w:szCs w:val="21"/>
    </w:rPr>
  </w:style>
  <w:style w:type="character" w:customStyle="1" w:styleId="25">
    <w:name w:val="标题 1 字符"/>
    <w:basedOn w:val="19"/>
    <w:link w:val="2"/>
    <w:qFormat/>
    <w:uiPriority w:val="9"/>
    <w:rPr>
      <w:rFonts w:ascii="Times New Roman" w:hAnsi="Times New Roman" w:eastAsia="宋体" w:cs="Times New Roman"/>
      <w:b/>
      <w:bCs/>
      <w:kern w:val="44"/>
      <w:sz w:val="44"/>
      <w:szCs w:val="44"/>
    </w:rPr>
  </w:style>
  <w:style w:type="character" w:customStyle="1" w:styleId="26">
    <w:name w:val="标题 2 字符"/>
    <w:basedOn w:val="19"/>
    <w:link w:val="3"/>
    <w:qFormat/>
    <w:uiPriority w:val="9"/>
    <w:rPr>
      <w:rFonts w:asciiTheme="majorHAnsi" w:hAnsiTheme="majorHAnsi" w:eastAsiaTheme="majorEastAsia" w:cstheme="majorBidi"/>
      <w:b/>
      <w:bCs/>
      <w:sz w:val="32"/>
      <w:szCs w:val="32"/>
    </w:rPr>
  </w:style>
  <w:style w:type="character" w:customStyle="1" w:styleId="27">
    <w:name w:val="页眉 字符"/>
    <w:basedOn w:val="19"/>
    <w:link w:val="11"/>
    <w:qFormat/>
    <w:uiPriority w:val="0"/>
    <w:rPr>
      <w:sz w:val="18"/>
      <w:szCs w:val="18"/>
    </w:rPr>
  </w:style>
  <w:style w:type="character" w:customStyle="1" w:styleId="28">
    <w:name w:val="页脚 字符"/>
    <w:basedOn w:val="19"/>
    <w:link w:val="10"/>
    <w:qFormat/>
    <w:uiPriority w:val="99"/>
    <w:rPr>
      <w:sz w:val="18"/>
      <w:szCs w:val="18"/>
    </w:rPr>
  </w:style>
  <w:style w:type="paragraph" w:customStyle="1" w:styleId="29">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30">
    <w:name w:val="批注框文本 字符"/>
    <w:basedOn w:val="19"/>
    <w:link w:val="9"/>
    <w:semiHidden/>
    <w:qFormat/>
    <w:uiPriority w:val="99"/>
    <w:rPr>
      <w:rFonts w:ascii="Times New Roman" w:hAnsi="Times New Roman" w:eastAsia="宋体" w:cs="Times New Roman"/>
      <w:sz w:val="18"/>
      <w:szCs w:val="18"/>
    </w:rPr>
  </w:style>
  <w:style w:type="character" w:customStyle="1" w:styleId="31">
    <w:name w:val="批注文字 字符"/>
    <w:basedOn w:val="19"/>
    <w:link w:val="5"/>
    <w:semiHidden/>
    <w:qFormat/>
    <w:uiPriority w:val="99"/>
    <w:rPr>
      <w:rFonts w:ascii="Times New Roman" w:hAnsi="Times New Roman" w:eastAsia="宋体" w:cs="Times New Roman"/>
      <w:szCs w:val="20"/>
    </w:rPr>
  </w:style>
  <w:style w:type="character" w:customStyle="1" w:styleId="32">
    <w:name w:val="纯文本 字符"/>
    <w:basedOn w:val="19"/>
    <w:link w:val="7"/>
    <w:qFormat/>
    <w:uiPriority w:val="0"/>
    <w:rPr>
      <w:rFonts w:ascii="仿宋_GB2312" w:hAnsi="Times New Roman" w:eastAsia="宋体" w:cs="Times New Roman"/>
      <w:sz w:val="24"/>
      <w:szCs w:val="20"/>
    </w:rPr>
  </w:style>
  <w:style w:type="paragraph" w:customStyle="1" w:styleId="33">
    <w:name w:val="_Style 8"/>
    <w:basedOn w:val="1"/>
    <w:next w:val="1"/>
    <w:qFormat/>
    <w:uiPriority w:val="0"/>
    <w:pPr>
      <w:spacing w:line="360" w:lineRule="auto"/>
      <w:ind w:firstLine="480" w:firstLineChars="200"/>
    </w:pPr>
    <w:rPr>
      <w:rFonts w:ascii="仿宋_GB2312"/>
      <w:sz w:val="24"/>
    </w:rPr>
  </w:style>
  <w:style w:type="paragraph" w:styleId="34">
    <w:name w:val="List Paragraph"/>
    <w:basedOn w:val="1"/>
    <w:qFormat/>
    <w:uiPriority w:val="34"/>
    <w:pPr>
      <w:ind w:firstLine="420" w:firstLineChars="200"/>
    </w:pPr>
    <w:rPr>
      <w:rFonts w:ascii="仿宋_GB2312" w:eastAsia="仿宋_GB2312"/>
      <w:spacing w:val="-4"/>
      <w:sz w:val="32"/>
    </w:rPr>
  </w:style>
  <w:style w:type="character" w:customStyle="1" w:styleId="35">
    <w:name w:val="正文文本缩进 2 字符"/>
    <w:basedOn w:val="19"/>
    <w:link w:val="8"/>
    <w:qFormat/>
    <w:uiPriority w:val="0"/>
    <w:rPr>
      <w:rFonts w:ascii="Times New Roman" w:hAnsi="Times New Roman" w:eastAsia="宋体" w:cs="Times New Roman"/>
      <w:b/>
      <w:bCs/>
      <w:sz w:val="28"/>
      <w:szCs w:val="24"/>
    </w:rPr>
  </w:style>
  <w:style w:type="character" w:customStyle="1" w:styleId="36">
    <w:name w:val="标题 字符"/>
    <w:basedOn w:val="19"/>
    <w:link w:val="15"/>
    <w:qFormat/>
    <w:uiPriority w:val="0"/>
    <w:rPr>
      <w:rFonts w:ascii="Cambria" w:hAnsi="Cambria" w:eastAsia="黑体" w:cs="Times New Roman"/>
      <w:b/>
      <w:bCs/>
      <w:sz w:val="52"/>
      <w:szCs w:val="32"/>
    </w:rPr>
  </w:style>
  <w:style w:type="character" w:customStyle="1" w:styleId="37">
    <w:name w:val="批注主题 字符"/>
    <w:basedOn w:val="31"/>
    <w:link w:val="16"/>
    <w:semiHidden/>
    <w:qFormat/>
    <w:uiPriority w:val="99"/>
    <w:rPr>
      <w:rFonts w:ascii="Times New Roman" w:hAnsi="Times New Roman" w:eastAsia="宋体" w:cs="Times New Roman"/>
      <w:b/>
      <w:bCs/>
      <w:szCs w:val="20"/>
    </w:rPr>
  </w:style>
  <w:style w:type="character" w:customStyle="1" w:styleId="38">
    <w:name w:val="title1"/>
    <w:qFormat/>
    <w:uiPriority w:val="0"/>
    <w:rPr>
      <w:b/>
      <w:bCs/>
      <w:color w:val="999900"/>
      <w:sz w:val="24"/>
      <w:szCs w:val="24"/>
    </w:rPr>
  </w:style>
  <w:style w:type="paragraph" w:customStyle="1" w:styleId="39">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40">
    <w:name w:val="标题 3 字符"/>
    <w:basedOn w:val="19"/>
    <w:link w:val="4"/>
    <w:semiHidden/>
    <w:qFormat/>
    <w:uiPriority w:val="9"/>
    <w:rPr>
      <w:b/>
      <w:bCs/>
      <w:kern w:val="2"/>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2045</Words>
  <Characters>2722</Characters>
  <Lines>18</Lines>
  <Paragraphs>5</Paragraphs>
  <TotalTime>0</TotalTime>
  <ScaleCrop>false</ScaleCrop>
  <LinksUpToDate>false</LinksUpToDate>
  <CharactersWithSpaces>2910</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2023-02-23T12:42:00Z</dcterms:created>
  <dc:creator>胡胜链</dc:creator>
  <cp:lastModifiedBy>Johnny</cp:lastModifiedBy>
  <cp:lastPrinted>2023-02-23T10:37:00Z</cp:lastPrinted>
  <dcterms:modified xsi:type="dcterms:W3CDTF">2023-03-17T06:50:29Z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ICV">
    <vt:lpwstr>9F9DEDC1E4DE4F65AF050B910D2FF3DA</vt:lpwstr>
  </property>
</Properties>
</file>